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8ADAE">
      <w:pPr>
        <w:pStyle w:val="31"/>
        <w:spacing w:before="700"/>
      </w:pPr>
      <w:r>
        <w:rPr>
          <w:rFonts w:ascii="Arial Unicode MS" w:hAnsi="Arial Unicode MS" w:eastAsia="Arial Unicode MS"/>
          <w:b/>
          <w:color w:val="000000"/>
          <w:sz w:val="48"/>
        </w:rPr>
        <w:t>机器人关节企业MOM建设调研报告</w:t>
      </w:r>
    </w:p>
    <w:p w14:paraId="269620C9">
      <w:pPr>
        <w:pStyle w:val="26"/>
      </w:pPr>
      <w:r>
        <w:rPr>
          <w:rFonts w:ascii="Arial Unicode MS" w:hAnsi="Arial Unicode MS" w:eastAsia="Arial Unicode MS"/>
          <w:color w:val="000000"/>
          <w:sz w:val="26"/>
        </w:rPr>
        <w:t>零差云控  新MES替换与制造数智化建设</w:t>
      </w:r>
    </w:p>
    <w:p w14:paraId="00D42472">
      <w:r>
        <w:rPr>
          <w:rFonts w:ascii="Arial Unicode MS" w:hAnsi="Arial Unicode MS" w:eastAsia="Arial Unicode MS"/>
          <w:color w:val="000000"/>
        </w:rPr>
        <w:t>版本 V2.6    修订日期 2026年10月28日</w:t>
      </w:r>
    </w:p>
    <w:p w14:paraId="2A498FEC">
      <w:r>
        <w:rPr>
          <w:rFonts w:ascii="Arial Unicode MS" w:hAnsi="Arial Unicode MS" w:eastAsia="Arial Unicode MS"/>
          <w:color w:val="000000"/>
        </w:rPr>
        <w:t>本报告分析制造运营与信息化现状，形成关键痛点、业务需求、验收指标和分期建设建议，为MES替换及后续制造数智化建设提供依据。</w:t>
      </w:r>
    </w:p>
    <w:p w14:paraId="1E95BFD3">
      <w:pPr>
        <w:pStyle w:val="4"/>
        <w:pageBreakBefore w:val="0"/>
      </w:pPr>
      <w:r>
        <w:rPr>
          <w:rFonts w:ascii="Arial Unicode MS" w:hAnsi="Arial Unicode MS" w:eastAsia="Arial Unicode MS"/>
          <w:b/>
          <w:color w:val="000000"/>
        </w:rPr>
        <w:t>版本修订记录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936"/>
        <w:gridCol w:w="1872"/>
        <w:gridCol w:w="7272"/>
      </w:tblGrid>
      <w:tr w14:paraId="137F3C33">
        <w:trPr>
          <w:cantSplit/>
          <w:tblHeader/>
          <w:jc w:val="center"/>
        </w:trPr>
        <w:tc>
          <w:tcPr>
            <w:tcW w:w="936" w:type="dxa"/>
            <w:shd w:val="clear" w:color="auto" w:fill="234A68"/>
            <w:vAlign w:val="center"/>
          </w:tcPr>
          <w:p w14:paraId="0F8E353B">
            <w:pPr>
              <w:keepNext/>
              <w:spacing w:before="40" w:after="40" w:line="280" w:lineRule="exact"/>
              <w:jc w:val="center"/>
            </w:pPr>
            <w:r>
              <w:rPr>
                <w:rFonts w:ascii="Arial Unicode MS" w:hAnsi="Arial Unicode MS" w:eastAsia="Arial Unicode MS"/>
                <w:b/>
                <w:color w:val="FFFFFF"/>
                <w:sz w:val="19"/>
              </w:rPr>
              <w:t>版本</w:t>
            </w:r>
          </w:p>
        </w:tc>
        <w:tc>
          <w:tcPr>
            <w:tcW w:w="1872" w:type="dxa"/>
            <w:shd w:val="clear" w:color="auto" w:fill="234A68"/>
            <w:vAlign w:val="center"/>
          </w:tcPr>
          <w:p w14:paraId="3B38442C">
            <w:pPr>
              <w:keepNext/>
              <w:spacing w:before="40" w:after="40" w:line="280" w:lineRule="exact"/>
              <w:jc w:val="center"/>
            </w:pPr>
            <w:r>
              <w:rPr>
                <w:rFonts w:ascii="Arial Unicode MS" w:hAnsi="Arial Unicode MS" w:eastAsia="Arial Unicode MS"/>
                <w:b/>
                <w:color w:val="FFFFFF"/>
                <w:sz w:val="19"/>
              </w:rPr>
              <w:t>日期</w:t>
            </w:r>
          </w:p>
        </w:tc>
        <w:tc>
          <w:tcPr>
            <w:tcW w:w="7272" w:type="dxa"/>
            <w:shd w:val="clear" w:color="auto" w:fill="234A68"/>
            <w:vAlign w:val="center"/>
          </w:tcPr>
          <w:p w14:paraId="79252135">
            <w:pPr>
              <w:keepNext/>
              <w:spacing w:before="40" w:after="40" w:line="280" w:lineRule="exact"/>
              <w:jc w:val="center"/>
            </w:pPr>
            <w:r>
              <w:rPr>
                <w:rFonts w:ascii="Arial Unicode MS" w:hAnsi="Arial Unicode MS" w:eastAsia="Arial Unicode MS"/>
                <w:b/>
                <w:color w:val="FFFFFF"/>
                <w:sz w:val="19"/>
              </w:rPr>
              <w:t>主要变更</w:t>
            </w:r>
          </w:p>
        </w:tc>
      </w:tr>
      <w:tr w14:paraId="474BF795">
        <w:trPr>
          <w:cantSplit/>
          <w:jc w:val="center"/>
        </w:trPr>
        <w:tc>
          <w:tcPr>
            <w:tcW w:w="936" w:type="dxa"/>
            <w:vAlign w:val="center"/>
          </w:tcPr>
          <w:p w14:paraId="23090B44">
            <w:pPr>
              <w:spacing w:before="40" w:after="40" w:line="280" w:lineRule="exact"/>
              <w:jc w:val="center"/>
            </w:pPr>
            <w:r>
              <w:rPr>
                <w:rFonts w:ascii="Arial Unicode MS" w:hAnsi="Arial Unicode MS" w:eastAsia="Arial Unicode MS"/>
                <w:b w:val="0"/>
                <w:color w:val="000000"/>
                <w:sz w:val="19"/>
              </w:rPr>
              <w:t>V0.1</w:t>
            </w:r>
          </w:p>
        </w:tc>
        <w:tc>
          <w:tcPr>
            <w:tcW w:w="1872" w:type="dxa"/>
            <w:vAlign w:val="center"/>
          </w:tcPr>
          <w:p w14:paraId="5AFED38F">
            <w:pPr>
              <w:spacing w:before="40" w:after="40" w:line="280" w:lineRule="exact"/>
            </w:pPr>
            <w:r>
              <w:rPr>
                <w:rFonts w:ascii="Arial Unicode MS" w:hAnsi="Arial Unicode MS" w:eastAsia="Arial Unicode MS"/>
                <w:b w:val="0"/>
                <w:color w:val="000000"/>
                <w:sz w:val="19"/>
              </w:rPr>
              <w:t>2026-10-13</w:t>
            </w:r>
          </w:p>
        </w:tc>
        <w:tc>
          <w:tcPr>
            <w:tcW w:w="7272" w:type="dxa"/>
            <w:vAlign w:val="center"/>
          </w:tcPr>
          <w:p w14:paraId="6690D51F">
            <w:pPr>
              <w:spacing w:before="40" w:after="40" w:line="280" w:lineRule="exact"/>
            </w:pPr>
            <w:r>
              <w:rPr>
                <w:rFonts w:ascii="Arial Unicode MS" w:hAnsi="Arial Unicode MS" w:eastAsia="Arial Unicode MS"/>
                <w:b w:val="0"/>
                <w:color w:val="000000"/>
                <w:sz w:val="19"/>
              </w:rPr>
              <w:t>建立调研报告大纲与概要。</w:t>
            </w:r>
          </w:p>
        </w:tc>
      </w:tr>
      <w:tr w14:paraId="472C04E9">
        <w:trPr>
          <w:cantSplit/>
          <w:jc w:val="center"/>
        </w:trPr>
        <w:tc>
          <w:tcPr>
            <w:tcW w:w="936" w:type="dxa"/>
            <w:shd w:val="clear" w:color="auto" w:fill="F1F5F8"/>
            <w:vAlign w:val="center"/>
          </w:tcPr>
          <w:p w14:paraId="770886B9">
            <w:pPr>
              <w:spacing w:before="40" w:after="40" w:line="280" w:lineRule="exact"/>
              <w:jc w:val="center"/>
            </w:pPr>
            <w:r>
              <w:rPr>
                <w:rFonts w:ascii="Arial Unicode MS" w:hAnsi="Arial Unicode MS" w:eastAsia="Arial Unicode MS"/>
                <w:b w:val="0"/>
                <w:color w:val="000000"/>
                <w:sz w:val="19"/>
              </w:rPr>
              <w:t>V1.0</w:t>
            </w:r>
          </w:p>
        </w:tc>
        <w:tc>
          <w:tcPr>
            <w:tcW w:w="1872" w:type="dxa"/>
            <w:shd w:val="clear" w:color="auto" w:fill="F1F5F8"/>
            <w:vAlign w:val="center"/>
          </w:tcPr>
          <w:p w14:paraId="07BFF1CC">
            <w:pPr>
              <w:spacing w:before="40" w:after="40" w:line="280" w:lineRule="exact"/>
            </w:pPr>
            <w:r>
              <w:rPr>
                <w:rFonts w:ascii="Arial Unicode MS" w:hAnsi="Arial Unicode MS" w:eastAsia="Arial Unicode MS"/>
                <w:b w:val="0"/>
                <w:color w:val="000000"/>
                <w:sz w:val="19"/>
              </w:rPr>
              <w:t>2026-10-13</w:t>
            </w:r>
          </w:p>
        </w:tc>
        <w:tc>
          <w:tcPr>
            <w:tcW w:w="7272" w:type="dxa"/>
            <w:shd w:val="clear" w:color="auto" w:fill="F1F5F8"/>
            <w:vAlign w:val="center"/>
          </w:tcPr>
          <w:p w14:paraId="7C7EFBFF">
            <w:pPr>
              <w:spacing w:before="40" w:after="40" w:line="280" w:lineRule="exact"/>
            </w:pPr>
            <w:r>
              <w:rPr>
                <w:rFonts w:ascii="Arial Unicode MS" w:hAnsi="Arial Unicode MS" w:eastAsia="Arial Unicode MS"/>
                <w:b w:val="0"/>
                <w:color w:val="000000"/>
                <w:sz w:val="19"/>
              </w:rPr>
              <w:t>整合业务 数据 系统现状，展开需求 风险及模块实施时间表。</w:t>
            </w:r>
          </w:p>
        </w:tc>
      </w:tr>
      <w:tr w14:paraId="1B0D7C2F">
        <w:trPr>
          <w:cantSplit/>
          <w:jc w:val="center"/>
        </w:trPr>
        <w:tc>
          <w:tcPr>
            <w:tcW w:w="936" w:type="dxa"/>
            <w:vAlign w:val="center"/>
          </w:tcPr>
          <w:p w14:paraId="0B0B0FA9">
            <w:pPr>
              <w:spacing w:before="40" w:after="40" w:line="280" w:lineRule="exact"/>
              <w:jc w:val="center"/>
            </w:pPr>
            <w:r>
              <w:rPr>
                <w:rFonts w:ascii="Arial Unicode MS" w:hAnsi="Arial Unicode MS" w:eastAsia="Arial Unicode MS"/>
                <w:b w:val="0"/>
                <w:color w:val="000000"/>
                <w:sz w:val="19"/>
              </w:rPr>
              <w:t>V1.1</w:t>
            </w:r>
          </w:p>
        </w:tc>
        <w:tc>
          <w:tcPr>
            <w:tcW w:w="1872" w:type="dxa"/>
            <w:vAlign w:val="center"/>
          </w:tcPr>
          <w:p w14:paraId="48C6209A">
            <w:pPr>
              <w:spacing w:before="40" w:after="40" w:line="280" w:lineRule="exact"/>
            </w:pPr>
            <w:r>
              <w:rPr>
                <w:rFonts w:ascii="Arial Unicode MS" w:hAnsi="Arial Unicode MS" w:eastAsia="Arial Unicode MS"/>
                <w:b w:val="0"/>
                <w:color w:val="000000"/>
                <w:sz w:val="19"/>
              </w:rPr>
              <w:t>2026-10-13</w:t>
            </w:r>
          </w:p>
        </w:tc>
        <w:tc>
          <w:tcPr>
            <w:tcW w:w="7272" w:type="dxa"/>
            <w:vAlign w:val="center"/>
          </w:tcPr>
          <w:p w14:paraId="65FAC696">
            <w:pPr>
              <w:spacing w:before="40" w:after="40" w:line="280" w:lineRule="exact"/>
            </w:pPr>
            <w:r>
              <w:rPr>
                <w:rFonts w:ascii="Arial Unicode MS" w:hAnsi="Arial Unicode MS" w:eastAsia="Arial Unicode MS"/>
                <w:b w:val="0"/>
                <w:color w:val="000000"/>
                <w:sz w:val="19"/>
              </w:rPr>
              <w:t>纳入飞书正文与关联文字记录，补充工艺链和发展规划输入，调整MPS及替换时间规划。</w:t>
            </w:r>
          </w:p>
        </w:tc>
      </w:tr>
      <w:tr w14:paraId="5EC5E393">
        <w:trPr>
          <w:cantSplit/>
          <w:jc w:val="center"/>
        </w:trPr>
        <w:tc>
          <w:tcPr>
            <w:tcW w:w="936" w:type="dxa"/>
            <w:shd w:val="clear" w:color="auto" w:fill="F1F5F8"/>
            <w:vAlign w:val="center"/>
          </w:tcPr>
          <w:p w14:paraId="1F7F399A">
            <w:pPr>
              <w:spacing w:before="40" w:after="40" w:line="280" w:lineRule="exact"/>
              <w:jc w:val="center"/>
            </w:pPr>
            <w:r>
              <w:rPr>
                <w:rFonts w:ascii="Arial Unicode MS" w:hAnsi="Arial Unicode MS" w:eastAsia="Arial Unicode MS"/>
                <w:b w:val="0"/>
                <w:color w:val="000000"/>
                <w:sz w:val="19"/>
              </w:rPr>
              <w:t>V1.2</w:t>
            </w:r>
          </w:p>
        </w:tc>
        <w:tc>
          <w:tcPr>
            <w:tcW w:w="1872" w:type="dxa"/>
            <w:shd w:val="clear" w:color="auto" w:fill="F1F5F8"/>
            <w:vAlign w:val="center"/>
          </w:tcPr>
          <w:p w14:paraId="7C037046">
            <w:pPr>
              <w:spacing w:before="40" w:after="40" w:line="280" w:lineRule="exact"/>
            </w:pPr>
            <w:r>
              <w:rPr>
                <w:rFonts w:ascii="Arial Unicode MS" w:hAnsi="Arial Unicode MS" w:eastAsia="Arial Unicode MS"/>
                <w:b w:val="0"/>
                <w:color w:val="000000"/>
                <w:sz w:val="19"/>
              </w:rPr>
              <w:t>2026-10-13</w:t>
            </w:r>
          </w:p>
        </w:tc>
        <w:tc>
          <w:tcPr>
            <w:tcW w:w="7272" w:type="dxa"/>
            <w:shd w:val="clear" w:color="auto" w:fill="F1F5F8"/>
            <w:vAlign w:val="center"/>
          </w:tcPr>
          <w:p w14:paraId="0B1BE4EA">
            <w:pPr>
              <w:spacing w:before="40" w:after="40" w:line="280" w:lineRule="exact"/>
            </w:pPr>
            <w:r>
              <w:rPr>
                <w:rFonts w:ascii="Arial Unicode MS" w:hAnsi="Arial Unicode MS" w:eastAsia="Arial Unicode MS"/>
                <w:b w:val="0"/>
                <w:color w:val="000000"/>
                <w:sz w:val="19"/>
              </w:rPr>
              <w:t>补充仓储专项、特殊物料及事务，完善取消/库存交接和生命周期分析。</w:t>
            </w:r>
          </w:p>
        </w:tc>
      </w:tr>
      <w:tr w14:paraId="737FD2A5">
        <w:trPr>
          <w:cantSplit/>
          <w:jc w:val="center"/>
        </w:trPr>
        <w:tc>
          <w:tcPr>
            <w:tcW w:w="936" w:type="dxa"/>
            <w:vAlign w:val="center"/>
          </w:tcPr>
          <w:p w14:paraId="0EFD7D43">
            <w:pPr>
              <w:spacing w:before="40" w:after="40" w:line="280" w:lineRule="exact"/>
              <w:jc w:val="center"/>
            </w:pPr>
            <w:r>
              <w:rPr>
                <w:rFonts w:ascii="Arial Unicode MS" w:hAnsi="Arial Unicode MS" w:eastAsia="Arial Unicode MS"/>
                <w:b w:val="0"/>
                <w:color w:val="000000"/>
                <w:sz w:val="19"/>
              </w:rPr>
              <w:t>V2.0</w:t>
            </w:r>
          </w:p>
        </w:tc>
        <w:tc>
          <w:tcPr>
            <w:tcW w:w="1872" w:type="dxa"/>
            <w:vAlign w:val="center"/>
          </w:tcPr>
          <w:p w14:paraId="05802C1E">
            <w:pPr>
              <w:spacing w:before="40" w:after="40" w:line="280" w:lineRule="exact"/>
            </w:pPr>
            <w:r>
              <w:rPr>
                <w:rFonts w:ascii="Arial Unicode MS" w:hAnsi="Arial Unicode MS" w:eastAsia="Arial Unicode MS"/>
                <w:b w:val="0"/>
                <w:color w:val="000000"/>
                <w:sz w:val="19"/>
              </w:rPr>
              <w:t>2026-10-14</w:t>
            </w:r>
          </w:p>
        </w:tc>
        <w:tc>
          <w:tcPr>
            <w:tcW w:w="7272" w:type="dxa"/>
            <w:vAlign w:val="center"/>
          </w:tcPr>
          <w:p w14:paraId="291CF359">
            <w:pPr>
              <w:spacing w:before="40" w:after="40" w:line="280" w:lineRule="exact"/>
            </w:pPr>
            <w:r>
              <w:rPr>
                <w:rFonts w:ascii="Arial Unicode MS" w:hAnsi="Arial Unicode MS" w:eastAsia="Arial Unicode MS"/>
                <w:b w:val="0"/>
                <w:color w:val="000000"/>
                <w:sz w:val="19"/>
              </w:rPr>
              <w:t>按D01至D10重构现状，补充专家根因分析、成熟功能评估、SMART指标和目标蓝图，采用Word并独立形成补充文件。</w:t>
            </w:r>
          </w:p>
        </w:tc>
      </w:tr>
      <w:tr w14:paraId="240D94FA">
        <w:trPr>
          <w:cantSplit/>
          <w:jc w:val="center"/>
        </w:trPr>
        <w:tc>
          <w:tcPr>
            <w:tcW w:w="936" w:type="dxa"/>
            <w:shd w:val="clear" w:color="auto" w:fill="F1F5F8"/>
            <w:vAlign w:val="center"/>
          </w:tcPr>
          <w:p w14:paraId="613F01F0">
            <w:pPr>
              <w:spacing w:before="40" w:after="40" w:line="280" w:lineRule="exact"/>
              <w:jc w:val="center"/>
            </w:pPr>
            <w:r>
              <w:rPr>
                <w:rFonts w:ascii="Arial Unicode MS" w:hAnsi="Arial Unicode MS" w:eastAsia="Arial Unicode MS"/>
                <w:b w:val="0"/>
                <w:color w:val="000000"/>
                <w:sz w:val="19"/>
              </w:rPr>
              <w:t>V2.1</w:t>
            </w:r>
          </w:p>
        </w:tc>
        <w:tc>
          <w:tcPr>
            <w:tcW w:w="1872" w:type="dxa"/>
            <w:shd w:val="clear" w:color="auto" w:fill="F1F5F8"/>
            <w:vAlign w:val="center"/>
          </w:tcPr>
          <w:p w14:paraId="49AA5CE4">
            <w:pPr>
              <w:spacing w:before="40" w:after="40" w:line="280" w:lineRule="exact"/>
            </w:pPr>
            <w:r>
              <w:rPr>
                <w:rFonts w:ascii="Arial Unicode MS" w:hAnsi="Arial Unicode MS" w:eastAsia="Arial Unicode MS"/>
                <w:b w:val="0"/>
                <w:color w:val="000000"/>
                <w:sz w:val="19"/>
              </w:rPr>
              <w:t>2026-10-19</w:t>
            </w:r>
          </w:p>
        </w:tc>
        <w:tc>
          <w:tcPr>
            <w:tcW w:w="7272" w:type="dxa"/>
            <w:shd w:val="clear" w:color="auto" w:fill="F1F5F8"/>
            <w:vAlign w:val="center"/>
          </w:tcPr>
          <w:p w14:paraId="6D9917A2">
            <w:pPr>
              <w:spacing w:before="40" w:after="40" w:line="280" w:lineRule="exact"/>
            </w:pPr>
            <w:r>
              <w:rPr>
                <w:rFonts w:ascii="Arial Unicode MS" w:hAnsi="Arial Unicode MS" w:eastAsia="Arial Unicode MS"/>
                <w:b w:val="0"/>
                <w:color w:val="000000"/>
                <w:sz w:val="19"/>
              </w:rPr>
              <w:t>统一AR责任位，整合诊断摘要，重构递进追因及MES需求分类，更新三层架构与三期实施规划，调整高层风险。</w:t>
            </w:r>
          </w:p>
        </w:tc>
      </w:tr>
      <w:tr w14:paraId="3578E9C9">
        <w:trPr>
          <w:cantSplit/>
          <w:jc w:val="center"/>
        </w:trPr>
        <w:tc>
          <w:tcPr>
            <w:tcW w:w="936" w:type="dxa"/>
            <w:vAlign w:val="center"/>
          </w:tcPr>
          <w:p w14:paraId="6935A696">
            <w:pPr>
              <w:spacing w:before="40" w:after="40" w:line="280" w:lineRule="exact"/>
              <w:jc w:val="center"/>
            </w:pPr>
            <w:r>
              <w:rPr>
                <w:rFonts w:ascii="Arial Unicode MS" w:hAnsi="Arial Unicode MS" w:eastAsia="Arial Unicode MS"/>
                <w:b w:val="0"/>
                <w:color w:val="000000"/>
                <w:sz w:val="19"/>
              </w:rPr>
              <w:t>V2.2</w:t>
            </w:r>
          </w:p>
        </w:tc>
        <w:tc>
          <w:tcPr>
            <w:tcW w:w="1872" w:type="dxa"/>
            <w:vAlign w:val="center"/>
          </w:tcPr>
          <w:p w14:paraId="44EE358A">
            <w:pPr>
              <w:spacing w:before="40" w:after="40" w:line="280" w:lineRule="exact"/>
            </w:pPr>
            <w:r>
              <w:rPr>
                <w:rFonts w:ascii="Arial Unicode MS" w:hAnsi="Arial Unicode MS" w:eastAsia="Arial Unicode MS"/>
                <w:b w:val="0"/>
                <w:color w:val="000000"/>
                <w:sz w:val="19"/>
              </w:rPr>
              <w:t>2026-10-21</w:t>
            </w:r>
          </w:p>
        </w:tc>
        <w:tc>
          <w:tcPr>
            <w:tcW w:w="7272" w:type="dxa"/>
            <w:vAlign w:val="center"/>
          </w:tcPr>
          <w:p w14:paraId="30EB2E3C">
            <w:pPr>
              <w:spacing w:before="40" w:after="40" w:line="280" w:lineRule="exact"/>
            </w:pPr>
            <w:r>
              <w:rPr>
                <w:rFonts w:ascii="Arial Unicode MS" w:hAnsi="Arial Unicode MS" w:eastAsia="Arial Unicode MS"/>
                <w:b w:val="0"/>
                <w:color w:val="000000"/>
                <w:sz w:val="19"/>
              </w:rPr>
              <w:t>纳入质量专项调研及已回复事项，完善质量流程、追因、需求、验收与分期边界；补全访谈人员，明确小车容量、机加工后续实施及产能规划口径。</w:t>
            </w:r>
          </w:p>
        </w:tc>
      </w:tr>
      <w:tr w14:paraId="7FF907F7">
        <w:trPr>
          <w:cantSplit/>
          <w:jc w:val="center"/>
        </w:trPr>
        <w:tc>
          <w:tcPr>
            <w:tcW w:w="936" w:type="dxa"/>
            <w:shd w:val="clear" w:color="auto" w:fill="F1F5F8"/>
            <w:vAlign w:val="center"/>
          </w:tcPr>
          <w:p w14:paraId="21D827DF">
            <w:pPr>
              <w:spacing w:before="40" w:after="40" w:line="280" w:lineRule="exact"/>
              <w:jc w:val="center"/>
            </w:pPr>
            <w:r>
              <w:rPr>
                <w:rFonts w:ascii="Arial Unicode MS" w:hAnsi="Arial Unicode MS" w:eastAsia="Arial Unicode MS"/>
                <w:b w:val="0"/>
                <w:color w:val="000000"/>
                <w:sz w:val="19"/>
              </w:rPr>
              <w:t>V2.3</w:t>
            </w:r>
          </w:p>
        </w:tc>
        <w:tc>
          <w:tcPr>
            <w:tcW w:w="1872" w:type="dxa"/>
            <w:shd w:val="clear" w:color="auto" w:fill="F1F5F8"/>
            <w:vAlign w:val="center"/>
          </w:tcPr>
          <w:p w14:paraId="2CD3407F">
            <w:pPr>
              <w:spacing w:before="40" w:after="40" w:line="280" w:lineRule="exact"/>
            </w:pPr>
            <w:r>
              <w:rPr>
                <w:rFonts w:ascii="Arial Unicode MS" w:hAnsi="Arial Unicode MS" w:eastAsia="Arial Unicode MS"/>
                <w:b w:val="0"/>
                <w:color w:val="000000"/>
                <w:sz w:val="19"/>
              </w:rPr>
              <w:t>2026-10-25</w:t>
            </w:r>
          </w:p>
        </w:tc>
        <w:tc>
          <w:tcPr>
            <w:tcW w:w="7272" w:type="dxa"/>
            <w:shd w:val="clear" w:color="auto" w:fill="F1F5F8"/>
            <w:vAlign w:val="center"/>
          </w:tcPr>
          <w:p w14:paraId="2A6D1D24">
            <w:pPr>
              <w:spacing w:before="40" w:after="40" w:line="280" w:lineRule="exact"/>
            </w:pPr>
            <w:r>
              <w:rPr>
                <w:rFonts w:ascii="Arial Unicode MS" w:hAnsi="Arial Unicode MS" w:eastAsia="Arial Unicode MS"/>
                <w:b w:val="0"/>
                <w:color w:val="000000"/>
                <w:sz w:val="19"/>
              </w:rPr>
              <w:t>纳入10月23日质量过程检、生产细节及三类文员补充调研，完善派工、排检、日报、组织事务和过程控制；修正能力基准与历史故障判断，补充验收用例与分期建议。</w:t>
            </w:r>
          </w:p>
        </w:tc>
      </w:tr>
      <w:tr>
        <w:trPr>
          <w:cantSplit/>
        </w:trPr>
        <w:tc>
          <w:tcPr>
            <w:tcW w:w="936" w:type="dxa"/>
            <w:shd w:val="clear" w:color="auto" w:fill="F1F5F8"/>
            <w:vAlign w:val="center"/>
          </w:tcPr>
          <w:p>
            <w:pPr>
              <w:spacing w:before="40" w:after="40" w:line="280" w:lineRule="exact"/>
              <w:jc w:val="center"/>
            </w:pPr>
            <w:r>
              <w:rPr>
                <w:rFonts w:ascii="Arial Unicode MS" w:hAnsi="Arial Unicode MS" w:eastAsia="Arial Unicode MS"/>
                <w:sz w:val="19"/>
              </w:rPr>
              <w:t>V2.4</w:t>
            </w:r>
          </w:p>
        </w:tc>
        <w:tc>
          <w:tcPr>
            <w:tcW w:w="1872" w:type="dxa"/>
            <w:shd w:val="clear" w:color="auto" w:fill="F1F5F8"/>
            <w:vAlign w:val="center"/>
          </w:tcPr>
          <w:p>
            <w:pPr>
              <w:spacing w:before="40" w:after="40" w:line="280" w:lineRule="exact"/>
            </w:pPr>
            <w:r>
              <w:rPr>
                <w:rFonts w:ascii="Arial Unicode MS" w:hAnsi="Arial Unicode MS" w:eastAsia="Arial Unicode MS"/>
                <w:sz w:val="19"/>
              </w:rPr>
              <w:t>2026-10-26</w:t>
            </w:r>
          </w:p>
        </w:tc>
        <w:tc>
          <w:tcPr>
            <w:tcW w:w="7272" w:type="dxa"/>
            <w:shd w:val="clear" w:color="auto" w:fill="F1F5F8"/>
            <w:vAlign w:val="center"/>
          </w:tcPr>
          <w:p>
            <w:pPr>
              <w:spacing w:before="40" w:after="40" w:line="280" w:lineRule="exact"/>
            </w:pPr>
            <w:r>
              <w:rPr>
                <w:rFonts w:ascii="Arial Unicode MS" w:hAnsi="Arial Unicode MS" w:eastAsia="Arial Unicode MS"/>
                <w:sz w:val="19"/>
              </w:rPr>
              <w:t>重写第二章总体判断，结合最终诊断评分说明当前阶段，明确数据采集与追溯优先，同步规范流程并为长期发展打好基础。</w:t>
            </w:r>
          </w:p>
        </w:tc>
      </w:tr>
      <w:tr>
        <w:trPr>
          <w:cantSplit/>
        </w:trPr>
        <w:tc>
          <w:tcPr>
            <w:tcW w:w="936" w:type="dxa"/>
            <w:shd w:val="clear" w:color="auto" w:fill="F1F5F8"/>
            <w:vAlign w:val="center"/>
          </w:tcPr>
          <w:p>
            <w:pPr>
              <w:spacing w:before="40" w:after="40" w:line="280" w:lineRule="exact"/>
              <w:jc w:val="center"/>
            </w:pPr>
            <w:r>
              <w:rPr>
                <w:rFonts w:ascii="Arial Unicode MS" w:hAnsi="Arial Unicode MS" w:eastAsia="Arial Unicode MS"/>
                <w:sz w:val="19"/>
              </w:rPr>
              <w:t>V2.5</w:t>
            </w:r>
          </w:p>
        </w:tc>
        <w:tc>
          <w:tcPr>
            <w:tcW w:w="1872" w:type="dxa"/>
            <w:shd w:val="clear" w:color="auto" w:fill="F1F5F8"/>
            <w:vAlign w:val="center"/>
          </w:tcPr>
          <w:p>
            <w:pPr>
              <w:spacing w:before="40" w:after="40" w:line="280" w:lineRule="exact"/>
            </w:pPr>
            <w:r>
              <w:rPr>
                <w:rFonts w:ascii="Arial Unicode MS" w:hAnsi="Arial Unicode MS" w:eastAsia="Arial Unicode MS"/>
                <w:sz w:val="19"/>
              </w:rPr>
              <w:t>2026-10-28</w:t>
            </w:r>
          </w:p>
        </w:tc>
        <w:tc>
          <w:tcPr>
            <w:tcW w:w="7272" w:type="dxa"/>
            <w:shd w:val="clear" w:color="auto" w:fill="F1F5F8"/>
            <w:vAlign w:val="center"/>
          </w:tcPr>
          <w:p>
            <w:pPr>
              <w:spacing w:before="40" w:after="40" w:line="280" w:lineRule="exact"/>
            </w:pPr>
            <w:r>
              <w:rPr>
                <w:rFonts w:ascii="Arial Unicode MS" w:hAnsi="Arial Unicode MS" w:eastAsia="Arial Unicode MS"/>
                <w:sz w:val="19"/>
              </w:rPr>
              <w:t>调整为先行改善与流程梳理、深圳试点、上海新工厂三期；上海需求明确后选型，补充新工艺、全产线及能力风险，更新管理层决策事项。</w:t>
            </w:r>
          </w:p>
        </w:tc>
      </w:tr>
      <w:tr>
        <w:trPr>
          <w:cantSplit/>
        </w:trPr>
        <w:tc>
          <w:tcPr>
            <w:tcW w:w="936" w:type="dxa"/>
            <w:shd w:val="clear" w:color="auto" w:fill="F1F5F8"/>
            <w:vAlign w:val="center"/>
          </w:tcPr>
          <w:p>
            <w:pPr>
              <w:spacing w:before="40" w:after="40" w:line="280" w:lineRule="exact"/>
              <w:jc w:val="center"/>
            </w:pPr>
            <w:r>
              <w:rPr>
                <w:rFonts w:ascii="Arial Unicode MS" w:hAnsi="Arial Unicode MS" w:eastAsia="Arial Unicode MS"/>
                <w:sz w:val="19"/>
              </w:rPr>
              <w:t>V2.6</w:t>
            </w:r>
          </w:p>
        </w:tc>
        <w:tc>
          <w:tcPr>
            <w:tcW w:w="1872" w:type="dxa"/>
            <w:shd w:val="clear" w:color="auto" w:fill="F1F5F8"/>
            <w:vAlign w:val="center"/>
          </w:tcPr>
          <w:p>
            <w:pPr>
              <w:spacing w:before="40" w:after="40" w:line="280" w:lineRule="exact"/>
            </w:pPr>
            <w:r>
              <w:rPr>
                <w:rFonts w:ascii="Arial Unicode MS" w:hAnsi="Arial Unicode MS" w:eastAsia="Arial Unicode MS"/>
                <w:sz w:val="19"/>
              </w:rPr>
              <w:t>2026-10-28</w:t>
            </w:r>
          </w:p>
        </w:tc>
        <w:tc>
          <w:tcPr>
            <w:tcW w:w="7272" w:type="dxa"/>
            <w:shd w:val="clear" w:color="auto" w:fill="F1F5F8"/>
            <w:vAlign w:val="center"/>
          </w:tcPr>
          <w:p>
            <w:pPr>
              <w:spacing w:before="40" w:after="40" w:line="280" w:lineRule="exact"/>
            </w:pPr>
            <w:r>
              <w:rPr>
                <w:rFonts w:ascii="Arial Unicode MS" w:hAnsi="Arial Unicode MS" w:eastAsia="Arial Unicode MS"/>
                <w:sz w:val="19"/>
              </w:rPr>
              <w:t>重写G01流程主责与基础治理风险、G04订单波动对多日计划的影响；删除G02，其他风险编号保留，完善应对方向。</w:t>
            </w:r>
          </w:p>
        </w:tc>
      </w:tr>
    </w:tbl>
    <w:p w14:paraId="06D44CD3">
      <w:pPr>
        <w:spacing w:before="20" w:after="20" w:line="120" w:lineRule="auto"/>
      </w:pPr>
    </w:p>
    <w:p w14:paraId="40708D22">
      <w:pPr>
        <w:pStyle w:val="3"/>
        <w:pageBreakBefore/>
      </w:pPr>
      <w:r>
        <w:rPr>
          <w:rFonts w:ascii="Arial Unicode MS" w:hAnsi="Arial Unicode MS" w:eastAsia="Arial Unicode MS"/>
          <w:b/>
          <w:color w:val="000000"/>
        </w:rPr>
        <w:t>目录</w:t>
      </w:r>
    </w:p>
    <w:p w14:paraId="303B4932">
      <w:pPr>
        <w:tabs>
          <w:tab w:val="right" w:pos="10008"/>
        </w:tabs>
        <w:spacing w:after="60" w:line="300" w:lineRule="exact"/>
        <w:ind w:left="0"/>
      </w:pPr>
      <w:r>
        <w:fldChar w:fldCharType="begin"/>
      </w:r>
      <w:r>
        <w:instrText xml:space="preserve"> HYPERLINK \l "ch1" \h </w:instrText>
      </w:r>
      <w:r>
        <w:fldChar w:fldCharType="separate"/>
      </w:r>
      <w:r>
        <w:rPr>
          <w:rFonts w:ascii="Arial Unicode MS" w:hAnsi="Arial Unicode MS" w:eastAsia="Arial Unicode MS"/>
          <w:b/>
          <w:color w:val="000000"/>
          <w:sz w:val="22"/>
        </w:rPr>
        <w:t>第一章 调研说明</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3</w:t>
      </w:r>
    </w:p>
    <w:p w14:paraId="01878A29">
      <w:pPr>
        <w:tabs>
          <w:tab w:val="right" w:pos="10008"/>
        </w:tabs>
        <w:spacing w:after="60" w:line="300" w:lineRule="exact"/>
        <w:ind w:left="0"/>
      </w:pPr>
      <w:r>
        <w:fldChar w:fldCharType="begin"/>
      </w:r>
      <w:r>
        <w:instrText xml:space="preserve"> HYPERLINK \l "ch2" \h </w:instrText>
      </w:r>
      <w:r>
        <w:fldChar w:fldCharType="separate"/>
      </w:r>
      <w:r>
        <w:rPr>
          <w:rFonts w:ascii="Arial Unicode MS" w:hAnsi="Arial Unicode MS" w:eastAsia="Arial Unicode MS"/>
          <w:b/>
          <w:color w:val="000000"/>
          <w:sz w:val="22"/>
        </w:rPr>
        <w:t>第二章 调研总结</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5</w:t>
      </w:r>
    </w:p>
    <w:p w14:paraId="159E300A">
      <w:pPr>
        <w:tabs>
          <w:tab w:val="right" w:pos="10008"/>
        </w:tabs>
        <w:spacing w:after="60" w:line="300" w:lineRule="exact"/>
        <w:ind w:left="0"/>
      </w:pPr>
      <w:r>
        <w:fldChar w:fldCharType="begin"/>
      </w:r>
      <w:r>
        <w:instrText xml:space="preserve"> HYPERLINK \l "ch3" \h </w:instrText>
      </w:r>
      <w:r>
        <w:fldChar w:fldCharType="separate"/>
      </w:r>
      <w:r>
        <w:rPr>
          <w:rFonts w:ascii="Arial Unicode MS" w:hAnsi="Arial Unicode MS" w:eastAsia="Arial Unicode MS"/>
          <w:b/>
          <w:color w:val="000000"/>
          <w:sz w:val="22"/>
        </w:rPr>
        <w:t>第三章 业务及数智化现状</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7</w:t>
      </w:r>
    </w:p>
    <w:p w14:paraId="200A29FF">
      <w:pPr>
        <w:tabs>
          <w:tab w:val="right" w:pos="9749"/>
        </w:tabs>
        <w:spacing w:after="60" w:line="300" w:lineRule="exact"/>
        <w:ind w:left="259"/>
      </w:pPr>
      <w:r>
        <w:fldChar w:fldCharType="begin"/>
      </w:r>
      <w:r>
        <w:instrText xml:space="preserve"> HYPERLINK \l "topic_D01" \h </w:instrText>
      </w:r>
      <w:r>
        <w:fldChar w:fldCharType="separate"/>
      </w:r>
      <w:r>
        <w:rPr>
          <w:rFonts w:ascii="Arial Unicode MS" w:hAnsi="Arial Unicode MS" w:eastAsia="Arial Unicode MS"/>
          <w:color w:val="000000"/>
          <w:sz w:val="21"/>
        </w:rPr>
        <w:t>D01 战略与发展规划</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7</w:t>
      </w:r>
    </w:p>
    <w:p w14:paraId="609E7664">
      <w:pPr>
        <w:tabs>
          <w:tab w:val="right" w:pos="9749"/>
        </w:tabs>
        <w:spacing w:after="60" w:line="300" w:lineRule="exact"/>
        <w:ind w:left="259"/>
      </w:pPr>
      <w:r>
        <w:fldChar w:fldCharType="begin"/>
      </w:r>
      <w:r>
        <w:instrText xml:space="preserve"> HYPERLINK \l "topic_D02" \h </w:instrText>
      </w:r>
      <w:r>
        <w:fldChar w:fldCharType="separate"/>
      </w:r>
      <w:r>
        <w:rPr>
          <w:rFonts w:ascii="Arial Unicode MS" w:hAnsi="Arial Unicode MS" w:eastAsia="Arial Unicode MS"/>
          <w:color w:val="000000"/>
          <w:sz w:val="21"/>
        </w:rPr>
        <w:t>D02 组织 人员与管理机制</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8</w:t>
      </w:r>
    </w:p>
    <w:p w14:paraId="570ABCAF">
      <w:pPr>
        <w:tabs>
          <w:tab w:val="right" w:pos="9749"/>
        </w:tabs>
        <w:spacing w:after="60" w:line="300" w:lineRule="exact"/>
        <w:ind w:left="259"/>
      </w:pPr>
      <w:r>
        <w:fldChar w:fldCharType="begin"/>
      </w:r>
      <w:r>
        <w:instrText xml:space="preserve"> HYPERLINK \l "topic_D03" \h </w:instrText>
      </w:r>
      <w:r>
        <w:fldChar w:fldCharType="separate"/>
      </w:r>
      <w:r>
        <w:rPr>
          <w:rFonts w:ascii="Arial Unicode MS" w:hAnsi="Arial Unicode MS" w:eastAsia="Arial Unicode MS"/>
          <w:color w:val="000000"/>
          <w:sz w:val="21"/>
        </w:rPr>
        <w:t>D03 销售 订单与交付</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9</w:t>
      </w:r>
    </w:p>
    <w:p w14:paraId="1399CC78">
      <w:pPr>
        <w:tabs>
          <w:tab w:val="right" w:pos="9749"/>
        </w:tabs>
        <w:spacing w:after="60" w:line="300" w:lineRule="exact"/>
        <w:ind w:left="259"/>
      </w:pPr>
      <w:r>
        <w:fldChar w:fldCharType="begin"/>
      </w:r>
      <w:r>
        <w:instrText xml:space="preserve"> HYPERLINK \l "topic_D04" \h </w:instrText>
      </w:r>
      <w:r>
        <w:fldChar w:fldCharType="separate"/>
      </w:r>
      <w:r>
        <w:rPr>
          <w:rFonts w:ascii="Arial Unicode MS" w:hAnsi="Arial Unicode MS" w:eastAsia="Arial Unicode MS"/>
          <w:color w:val="000000"/>
          <w:sz w:val="21"/>
        </w:rPr>
        <w:t>D04 产品 研发与工艺工程</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11</w:t>
      </w:r>
    </w:p>
    <w:p w14:paraId="1B544242">
      <w:pPr>
        <w:tabs>
          <w:tab w:val="right" w:pos="9749"/>
        </w:tabs>
        <w:spacing w:after="60" w:line="300" w:lineRule="exact"/>
        <w:ind w:left="259"/>
      </w:pPr>
      <w:r>
        <w:fldChar w:fldCharType="begin"/>
      </w:r>
      <w:r>
        <w:instrText xml:space="preserve"> HYPERLINK \l "topic_D05" \h </w:instrText>
      </w:r>
      <w:r>
        <w:fldChar w:fldCharType="separate"/>
      </w:r>
      <w:r>
        <w:rPr>
          <w:rFonts w:ascii="Arial Unicode MS" w:hAnsi="Arial Unicode MS" w:eastAsia="Arial Unicode MS"/>
          <w:color w:val="000000"/>
          <w:sz w:val="21"/>
        </w:rPr>
        <w:t>D05 计划 产能与生产执行</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12</w:t>
      </w:r>
    </w:p>
    <w:p w14:paraId="77ED2D41">
      <w:pPr>
        <w:tabs>
          <w:tab w:val="right" w:pos="9749"/>
        </w:tabs>
        <w:spacing w:after="60" w:line="300" w:lineRule="exact"/>
        <w:ind w:left="259"/>
      </w:pPr>
      <w:r>
        <w:fldChar w:fldCharType="begin"/>
      </w:r>
      <w:r>
        <w:instrText xml:space="preserve"> HYPERLINK \l "topic_D06" \h </w:instrText>
      </w:r>
      <w:r>
        <w:fldChar w:fldCharType="separate"/>
      </w:r>
      <w:r>
        <w:rPr>
          <w:rFonts w:ascii="Arial Unicode MS" w:hAnsi="Arial Unicode MS" w:eastAsia="Arial Unicode MS"/>
          <w:color w:val="000000"/>
          <w:sz w:val="21"/>
        </w:rPr>
        <w:t>D06 采购 物料与仓储物流</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15</w:t>
      </w:r>
    </w:p>
    <w:p w14:paraId="6109A092">
      <w:pPr>
        <w:tabs>
          <w:tab w:val="right" w:pos="9749"/>
        </w:tabs>
        <w:spacing w:after="60" w:line="300" w:lineRule="exact"/>
        <w:ind w:left="259"/>
      </w:pPr>
      <w:r>
        <w:fldChar w:fldCharType="begin"/>
      </w:r>
      <w:r>
        <w:instrText xml:space="preserve"> HYPERLINK \l "topic_D07" \h </w:instrText>
      </w:r>
      <w:r>
        <w:fldChar w:fldCharType="separate"/>
      </w:r>
      <w:r>
        <w:rPr>
          <w:rFonts w:ascii="Arial Unicode MS" w:hAnsi="Arial Unicode MS" w:eastAsia="Arial Unicode MS"/>
          <w:color w:val="000000"/>
          <w:sz w:val="21"/>
        </w:rPr>
        <w:t>D07 质量 追溯与合规</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17</w:t>
      </w:r>
    </w:p>
    <w:p w14:paraId="73491E24">
      <w:pPr>
        <w:tabs>
          <w:tab w:val="right" w:pos="9749"/>
        </w:tabs>
        <w:spacing w:after="60" w:line="300" w:lineRule="exact"/>
        <w:ind w:left="259"/>
      </w:pPr>
      <w:r>
        <w:fldChar w:fldCharType="begin"/>
      </w:r>
      <w:r>
        <w:instrText xml:space="preserve"> HYPERLINK \l "topic_D08" \h </w:instrText>
      </w:r>
      <w:r>
        <w:fldChar w:fldCharType="separate"/>
      </w:r>
      <w:r>
        <w:rPr>
          <w:rFonts w:ascii="Arial Unicode MS" w:hAnsi="Arial Unicode MS" w:eastAsia="Arial Unicode MS"/>
          <w:color w:val="000000"/>
          <w:sz w:val="21"/>
        </w:rPr>
        <w:t>D08 设备 工装 能源与自动化</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20</w:t>
      </w:r>
    </w:p>
    <w:p w14:paraId="0B9326D8">
      <w:pPr>
        <w:tabs>
          <w:tab w:val="right" w:pos="9749"/>
        </w:tabs>
        <w:spacing w:after="60" w:line="300" w:lineRule="exact"/>
        <w:ind w:left="259"/>
      </w:pPr>
      <w:r>
        <w:fldChar w:fldCharType="begin"/>
      </w:r>
      <w:r>
        <w:instrText xml:space="preserve"> HYPERLINK \l "topic_D09" \h </w:instrText>
      </w:r>
      <w:r>
        <w:fldChar w:fldCharType="separate"/>
      </w:r>
      <w:r>
        <w:rPr>
          <w:rFonts w:ascii="Arial Unicode MS" w:hAnsi="Arial Unicode MS" w:eastAsia="Arial Unicode MS"/>
          <w:color w:val="000000"/>
          <w:sz w:val="21"/>
        </w:rPr>
        <w:t>D09 成本 绩效与经营分析</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21</w:t>
      </w:r>
    </w:p>
    <w:p w14:paraId="13AC1F9C">
      <w:pPr>
        <w:tabs>
          <w:tab w:val="right" w:pos="9749"/>
        </w:tabs>
        <w:spacing w:after="60" w:line="300" w:lineRule="exact"/>
        <w:ind w:left="259"/>
      </w:pPr>
      <w:r>
        <w:fldChar w:fldCharType="begin"/>
      </w:r>
      <w:r>
        <w:instrText xml:space="preserve"> HYPERLINK \l "topic_D10" \h </w:instrText>
      </w:r>
      <w:r>
        <w:fldChar w:fldCharType="separate"/>
      </w:r>
      <w:r>
        <w:rPr>
          <w:rFonts w:ascii="Arial Unicode MS" w:hAnsi="Arial Unicode MS" w:eastAsia="Arial Unicode MS"/>
          <w:color w:val="000000"/>
          <w:sz w:val="21"/>
        </w:rPr>
        <w:t>D10 信息系统 数据与安全</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22</w:t>
      </w:r>
    </w:p>
    <w:p w14:paraId="7A42D05A">
      <w:pPr>
        <w:tabs>
          <w:tab w:val="right" w:pos="10008"/>
        </w:tabs>
        <w:spacing w:after="60" w:line="300" w:lineRule="exact"/>
        <w:ind w:left="0"/>
      </w:pPr>
      <w:r>
        <w:fldChar w:fldCharType="begin"/>
      </w:r>
      <w:r>
        <w:instrText xml:space="preserve"> HYPERLINK \l "ch4" \h </w:instrText>
      </w:r>
      <w:r>
        <w:fldChar w:fldCharType="separate"/>
      </w:r>
      <w:r>
        <w:rPr>
          <w:rFonts w:ascii="Arial Unicode MS" w:hAnsi="Arial Unicode MS" w:eastAsia="Arial Unicode MS"/>
          <w:b/>
          <w:color w:val="000000"/>
          <w:sz w:val="22"/>
        </w:rPr>
        <w:t>第四章 痛点分析 需求与验收</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25</w:t>
      </w:r>
    </w:p>
    <w:p w14:paraId="0D71D3D7">
      <w:pPr>
        <w:tabs>
          <w:tab w:val="right" w:pos="9749"/>
        </w:tabs>
        <w:spacing w:after="60" w:line="300" w:lineRule="exact"/>
        <w:ind w:left="259"/>
      </w:pPr>
      <w:r>
        <w:fldChar w:fldCharType="begin"/>
      </w:r>
      <w:r>
        <w:instrText xml:space="preserve"> HYPERLINK \l "root" \h </w:instrText>
      </w:r>
      <w:r>
        <w:fldChar w:fldCharType="separate"/>
      </w:r>
      <w:r>
        <w:rPr>
          <w:rFonts w:ascii="Arial Unicode MS" w:hAnsi="Arial Unicode MS" w:eastAsia="Arial Unicode MS"/>
          <w:color w:val="000000"/>
          <w:sz w:val="21"/>
        </w:rPr>
        <w:t>痛点与根因分析</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25</w:t>
      </w:r>
    </w:p>
    <w:p w14:paraId="33173906">
      <w:pPr>
        <w:tabs>
          <w:tab w:val="right" w:pos="9749"/>
        </w:tabs>
        <w:spacing w:after="60" w:line="300" w:lineRule="exact"/>
        <w:ind w:left="259"/>
      </w:pPr>
      <w:r>
        <w:fldChar w:fldCharType="begin"/>
      </w:r>
      <w:r>
        <w:instrText xml:space="preserve"> HYPERLINK \l "requirements" \h </w:instrText>
      </w:r>
      <w:r>
        <w:fldChar w:fldCharType="separate"/>
      </w:r>
      <w:r>
        <w:rPr>
          <w:rFonts w:ascii="Arial Unicode MS" w:hAnsi="Arial Unicode MS" w:eastAsia="Arial Unicode MS"/>
          <w:color w:val="000000"/>
          <w:sz w:val="21"/>
        </w:rPr>
        <w:t>MES功能与非功能需求</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30</w:t>
      </w:r>
    </w:p>
    <w:p w14:paraId="5C08575C">
      <w:pPr>
        <w:tabs>
          <w:tab w:val="right" w:pos="9749"/>
        </w:tabs>
        <w:spacing w:after="60" w:line="300" w:lineRule="exact"/>
        <w:ind w:left="259"/>
      </w:pPr>
      <w:r>
        <w:fldChar w:fldCharType="begin"/>
      </w:r>
      <w:r>
        <w:instrText xml:space="preserve"> HYPERLINK \l "metrics" \h </w:instrText>
      </w:r>
      <w:r>
        <w:fldChar w:fldCharType="separate"/>
      </w:r>
      <w:r>
        <w:rPr>
          <w:rFonts w:ascii="Arial Unicode MS" w:hAnsi="Arial Unicode MS" w:eastAsia="Arial Unicode MS"/>
          <w:color w:val="000000"/>
          <w:sz w:val="21"/>
        </w:rPr>
        <w:t>验收指标</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40</w:t>
      </w:r>
    </w:p>
    <w:p w14:paraId="4808382A">
      <w:pPr>
        <w:tabs>
          <w:tab w:val="right" w:pos="10008"/>
        </w:tabs>
        <w:spacing w:after="60" w:line="300" w:lineRule="exact"/>
        <w:ind w:left="0"/>
      </w:pPr>
      <w:r>
        <w:fldChar w:fldCharType="begin"/>
      </w:r>
      <w:r>
        <w:instrText xml:space="preserve"> HYPERLINK \l "ch5" \h </w:instrText>
      </w:r>
      <w:r>
        <w:fldChar w:fldCharType="separate"/>
      </w:r>
      <w:r>
        <w:rPr>
          <w:rFonts w:ascii="Arial Unicode MS" w:hAnsi="Arial Unicode MS" w:eastAsia="Arial Unicode MS"/>
          <w:b/>
          <w:color w:val="000000"/>
          <w:sz w:val="22"/>
        </w:rPr>
        <w:t>第五章 建设规划</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44</w:t>
      </w:r>
    </w:p>
    <w:p w14:paraId="47FC045F">
      <w:pPr>
        <w:tabs>
          <w:tab w:val="right" w:pos="9749"/>
        </w:tabs>
        <w:spacing w:after="60" w:line="300" w:lineRule="exact"/>
        <w:ind w:left="259"/>
      </w:pPr>
      <w:r>
        <w:fldChar w:fldCharType="begin"/>
      </w:r>
      <w:r>
        <w:instrText xml:space="preserve"> HYPERLINK \l "blueprint" \h </w:instrText>
      </w:r>
      <w:r>
        <w:fldChar w:fldCharType="separate"/>
      </w:r>
      <w:r>
        <w:rPr>
          <w:rFonts w:ascii="Arial Unicode MS" w:hAnsi="Arial Unicode MS" w:eastAsia="Arial Unicode MS"/>
          <w:color w:val="000000"/>
          <w:sz w:val="21"/>
        </w:rPr>
        <w:t>目标系统架构</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44</w:t>
      </w:r>
    </w:p>
    <w:p w14:paraId="5D9ABA77">
      <w:pPr>
        <w:tabs>
          <w:tab w:val="right" w:pos="9749"/>
        </w:tabs>
        <w:spacing w:after="60" w:line="300" w:lineRule="exact"/>
        <w:ind w:left="259"/>
      </w:pPr>
      <w:r>
        <w:fldChar w:fldCharType="begin"/>
      </w:r>
      <w:r>
        <w:instrText xml:space="preserve"> HYPERLINK \l "milestones" \h </w:instrText>
      </w:r>
      <w:r>
        <w:fldChar w:fldCharType="separate"/>
      </w:r>
      <w:r>
        <w:rPr>
          <w:rFonts w:ascii="Arial Unicode MS" w:hAnsi="Arial Unicode MS" w:eastAsia="Arial Unicode MS"/>
          <w:color w:val="000000"/>
          <w:sz w:val="21"/>
        </w:rPr>
        <w:t>分期系统实施时间表</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45</w:t>
      </w:r>
    </w:p>
    <w:p w14:paraId="047FC8DB">
      <w:pPr>
        <w:tabs>
          <w:tab w:val="right" w:pos="9749"/>
        </w:tabs>
        <w:spacing w:after="60" w:line="300" w:lineRule="exact"/>
        <w:ind w:left="259"/>
      </w:pPr>
      <w:r>
        <w:fldChar w:fldCharType="begin"/>
      </w:r>
      <w:r>
        <w:instrText xml:space="preserve"> HYPERLINK \l "phase1" \h </w:instrText>
      </w:r>
      <w:r>
        <w:fldChar w:fldCharType="separate"/>
      </w:r>
      <w:r>
        <w:rPr>
          <w:rFonts w:ascii="Arial Unicode MS" w:hAnsi="Arial Unicode MS" w:eastAsia="Arial Unicode MS"/>
          <w:color w:val="000000"/>
          <w:sz w:val="21"/>
        </w:rPr>
        <w:t>深圳工厂试点范围</w:t>
      </w:r>
      <w:r>
        <w:rPr>
          <w:rFonts w:ascii="Arial Unicode MS" w:hAnsi="Arial Unicode MS" w:eastAsia="Arial Unicode MS"/>
          <w:color w:val="000000"/>
          <w:sz w:val="21"/>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47</w:t>
      </w:r>
    </w:p>
    <w:p w14:paraId="4DBB05FE">
      <w:pPr>
        <w:tabs>
          <w:tab w:val="right" w:pos="10008"/>
        </w:tabs>
        <w:spacing w:after="60" w:line="300" w:lineRule="exact"/>
        <w:ind w:left="0"/>
      </w:pPr>
      <w:r>
        <w:fldChar w:fldCharType="begin"/>
      </w:r>
      <w:r>
        <w:instrText xml:space="preserve"> HYPERLINK \l "ch6" \h </w:instrText>
      </w:r>
      <w:r>
        <w:fldChar w:fldCharType="separate"/>
      </w:r>
      <w:r>
        <w:rPr>
          <w:rFonts w:ascii="Arial Unicode MS" w:hAnsi="Arial Unicode MS" w:eastAsia="Arial Unicode MS"/>
          <w:b/>
          <w:color w:val="000000"/>
          <w:sz w:val="22"/>
        </w:rPr>
        <w:t>第六章 高层级风险预告</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48</w:t>
      </w:r>
    </w:p>
    <w:p w14:paraId="443B3D88">
      <w:pPr>
        <w:tabs>
          <w:tab w:val="right" w:pos="10008"/>
        </w:tabs>
        <w:spacing w:after="60" w:line="300" w:lineRule="exact"/>
        <w:ind w:left="0"/>
      </w:pPr>
      <w:r>
        <w:fldChar w:fldCharType="begin"/>
      </w:r>
      <w:r>
        <w:instrText xml:space="preserve"> HYPERLINK \l "appendix" \h </w:instrText>
      </w:r>
      <w:r>
        <w:fldChar w:fldCharType="separate"/>
      </w:r>
      <w:r>
        <w:rPr>
          <w:rFonts w:ascii="Arial Unicode MS" w:hAnsi="Arial Unicode MS" w:eastAsia="Arial Unicode MS"/>
          <w:b/>
          <w:color w:val="000000"/>
          <w:sz w:val="22"/>
        </w:rPr>
        <w:t>附录 资料索引</w:t>
      </w:r>
      <w:r>
        <w:rPr>
          <w:rFonts w:ascii="Arial Unicode MS" w:hAnsi="Arial Unicode MS" w:eastAsia="Arial Unicode MS"/>
          <w:b/>
          <w:color w:val="000000"/>
          <w:sz w:val="22"/>
        </w:rPr>
        <w:fldChar w:fldCharType="end"/>
      </w:r>
      <w:r>
        <w:rPr>
          <w:rFonts w:ascii="Arial Unicode MS" w:hAnsi="Arial Unicode MS" w:eastAsia="Arial Unicode MS"/>
          <w:color w:val="000000"/>
          <w:sz w:val="21"/>
        </w:rPr>
        <w:tab/>
      </w:r>
      <w:r>
        <w:rPr>
          <w:rFonts w:ascii="Arial Unicode MS" w:hAnsi="Arial Unicode MS" w:eastAsia="Arial Unicode MS"/>
          <w:color w:val="000000"/>
          <w:sz w:val="21"/>
        </w:rPr>
        <w:t>50</w:t>
      </w:r>
    </w:p>
    <w:p w14:paraId="573FA16E">
      <w:pPr>
        <w:pStyle w:val="3"/>
        <w:pageBreakBefore/>
      </w:pPr>
      <w:bookmarkStart w:id="0" w:name="ch1"/>
      <w:r>
        <w:rPr>
          <w:rFonts w:ascii="Arial Unicode MS" w:hAnsi="Arial Unicode MS" w:eastAsia="Arial Unicode MS"/>
          <w:b/>
          <w:color w:val="000000"/>
        </w:rPr>
        <w:t>第一章 调研说明</w:t>
      </w:r>
      <w:bookmarkEnd w:id="0"/>
    </w:p>
    <w:p w14:paraId="3BADCDF5">
      <w:pPr>
        <w:pStyle w:val="4"/>
        <w:pageBreakBefore w:val="0"/>
      </w:pPr>
      <w:r>
        <w:rPr>
          <w:rFonts w:ascii="Arial Unicode MS" w:hAnsi="Arial Unicode MS" w:eastAsia="Arial Unicode MS"/>
          <w:b/>
          <w:color w:val="000000"/>
        </w:rPr>
        <w:t>调研目标</w:t>
      </w:r>
    </w:p>
    <w:p w14:paraId="38EFFCBE">
      <w:r>
        <w:rPr>
          <w:rFonts w:ascii="Arial Unicode MS" w:hAnsi="Arial Unicode MS" w:eastAsia="Arial Unicode MS"/>
          <w:color w:val="000000"/>
        </w:rPr>
        <w:t>了解制造运营及数智化现状，识别影响交付、质量、效率、库存和持续运行的主要痛点，明确业务需求及优先级，为流程改善、新MES替换、深圳试点范围和上海新工厂建设规划提供依据。</w:t>
      </w:r>
    </w:p>
    <w:p w14:paraId="2268F5E6">
      <w:pPr>
        <w:pStyle w:val="4"/>
        <w:pageBreakBefore w:val="0"/>
        <w:rPr>
          <w:rFonts w:ascii="Arial Unicode MS" w:hAnsi="Arial Unicode MS" w:eastAsia="Arial Unicode MS"/>
          <w:b/>
          <w:color w:val="000000"/>
        </w:rPr>
      </w:pPr>
      <w:r>
        <w:rPr>
          <w:rFonts w:ascii="Arial Unicode MS" w:hAnsi="Arial Unicode MS" w:eastAsia="Arial Unicode MS"/>
          <w:b/>
          <w:color w:val="000000"/>
        </w:rPr>
        <w:t>调研对象与记录</w:t>
      </w:r>
    </w:p>
    <w:p w14:paraId="60224C27">
      <w:r>
        <w:rPr>
          <w:rFonts w:ascii="Arial Unicode MS" w:hAnsi="Arial Unicode MS" w:eastAsia="Arial Unicode MS"/>
          <w:color w:val="000000"/>
        </w:rPr>
        <w:t>调研覆盖关节装配、测试、包装、物料交接及相关工程准备，并纳入质量检验、异常处置与追溯业务。制造总体范围同时包含机加工车间自制件业务，其MES应用安排在后续分期。</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699"/>
        <w:gridCol w:w="2520"/>
        <w:gridCol w:w="1368"/>
        <w:gridCol w:w="1656"/>
        <w:gridCol w:w="2837"/>
      </w:tblGrid>
      <w:tr w14:paraId="1987EDB1">
        <w:trPr>
          <w:cantSplit/>
          <w:tblHeader/>
          <w:jc w:val="center"/>
        </w:trPr>
        <w:tc>
          <w:tcPr>
            <w:tcW w:w="1699" w:type="dxa"/>
            <w:shd w:val="clear" w:color="auto" w:fill="234A68"/>
            <w:vAlign w:val="center"/>
          </w:tcPr>
          <w:p w14:paraId="71E78F1B">
            <w:pPr>
              <w:keepNext/>
              <w:spacing w:before="30" w:after="30" w:line="290" w:lineRule="exact"/>
            </w:pPr>
            <w:r>
              <w:rPr>
                <w:rFonts w:ascii="Arial Unicode MS" w:hAnsi="Arial Unicode MS" w:eastAsia="Arial Unicode MS"/>
                <w:b/>
                <w:color w:val="FFFFFF"/>
                <w:sz w:val="20"/>
              </w:rPr>
              <w:t>业务议题及责任位</w:t>
            </w:r>
          </w:p>
        </w:tc>
        <w:tc>
          <w:tcPr>
            <w:tcW w:w="2520" w:type="dxa"/>
            <w:shd w:val="clear" w:color="auto" w:fill="234A68"/>
            <w:vAlign w:val="center"/>
          </w:tcPr>
          <w:p w14:paraId="10EDCDBC">
            <w:pPr>
              <w:keepNext/>
              <w:spacing w:before="30" w:after="30" w:line="290" w:lineRule="exact"/>
            </w:pPr>
            <w:r>
              <w:rPr>
                <w:rFonts w:ascii="Arial Unicode MS" w:hAnsi="Arial Unicode MS" w:eastAsia="Arial Unicode MS"/>
                <w:b/>
                <w:color w:val="FFFFFF"/>
                <w:sz w:val="20"/>
              </w:rPr>
              <w:t>日期及录音时段</w:t>
            </w:r>
          </w:p>
        </w:tc>
        <w:tc>
          <w:tcPr>
            <w:tcW w:w="1368" w:type="dxa"/>
            <w:shd w:val="clear" w:color="auto" w:fill="234A68"/>
            <w:vAlign w:val="center"/>
          </w:tcPr>
          <w:p w14:paraId="5A6043FE">
            <w:pPr>
              <w:keepNext/>
              <w:spacing w:before="30" w:after="30" w:line="290" w:lineRule="exact"/>
            </w:pPr>
            <w:r>
              <w:rPr>
                <w:rFonts w:ascii="Arial Unicode MS" w:hAnsi="Arial Unicode MS" w:eastAsia="Arial Unicode MS"/>
                <w:b/>
                <w:color w:val="FFFFFF"/>
                <w:sz w:val="20"/>
              </w:rPr>
              <w:t>调研方式</w:t>
            </w:r>
          </w:p>
        </w:tc>
        <w:tc>
          <w:tcPr>
            <w:tcW w:w="1656" w:type="dxa"/>
            <w:shd w:val="clear" w:color="auto" w:fill="234A68"/>
            <w:vAlign w:val="center"/>
          </w:tcPr>
          <w:p w14:paraId="395DD871">
            <w:pPr>
              <w:keepNext/>
              <w:spacing w:before="30" w:after="30" w:line="290" w:lineRule="exact"/>
            </w:pPr>
            <w:r>
              <w:rPr>
                <w:rFonts w:ascii="Arial Unicode MS" w:hAnsi="Arial Unicode MS" w:eastAsia="Arial Unicode MS"/>
                <w:b/>
                <w:color w:val="FFFFFF"/>
                <w:sz w:val="20"/>
              </w:rPr>
              <w:t>参与人员</w:t>
            </w:r>
          </w:p>
        </w:tc>
        <w:tc>
          <w:tcPr>
            <w:tcW w:w="2837" w:type="dxa"/>
            <w:shd w:val="clear" w:color="auto" w:fill="234A68"/>
            <w:vAlign w:val="center"/>
          </w:tcPr>
          <w:p w14:paraId="02B6691B">
            <w:pPr>
              <w:keepNext/>
              <w:spacing w:before="30" w:after="30" w:line="290" w:lineRule="exact"/>
            </w:pPr>
            <w:r>
              <w:rPr>
                <w:rFonts w:ascii="Arial Unicode MS" w:hAnsi="Arial Unicode MS" w:eastAsia="Arial Unicode MS"/>
                <w:b/>
                <w:color w:val="FFFFFF"/>
                <w:sz w:val="20"/>
              </w:rPr>
              <w:t>记录</w:t>
            </w:r>
          </w:p>
        </w:tc>
      </w:tr>
      <w:tr w14:paraId="71B731E8">
        <w:trPr>
          <w:cantSplit/>
          <w:jc w:val="center"/>
        </w:trPr>
        <w:tc>
          <w:tcPr>
            <w:tcW w:w="1699" w:type="dxa"/>
            <w:vAlign w:val="center"/>
          </w:tcPr>
          <w:p w14:paraId="1AD5C544">
            <w:pPr>
              <w:spacing w:before="30" w:after="30" w:line="290" w:lineRule="exact"/>
            </w:pPr>
            <w:r>
              <w:rPr>
                <w:rFonts w:ascii="Arial Unicode MS" w:hAnsi="Arial Unicode MS" w:eastAsia="Arial Unicode MS"/>
                <w:color w:val="000000"/>
                <w:sz w:val="20"/>
              </w:rPr>
              <w:t>计划及ERP协同</w:t>
            </w:r>
          </w:p>
        </w:tc>
        <w:tc>
          <w:tcPr>
            <w:tcW w:w="2520" w:type="dxa"/>
            <w:vAlign w:val="center"/>
          </w:tcPr>
          <w:p w14:paraId="40F2311D">
            <w:pPr>
              <w:spacing w:before="30" w:after="30" w:line="290" w:lineRule="exact"/>
            </w:pPr>
            <w:r>
              <w:rPr>
                <w:rFonts w:ascii="Arial Unicode MS" w:hAnsi="Arial Unicode MS" w:eastAsia="Arial Unicode MS"/>
                <w:b w:val="0"/>
                <w:color w:val="000000"/>
                <w:sz w:val="20"/>
              </w:rPr>
              <w:t>2026年9月23日</w:t>
            </w:r>
            <w:r>
              <w:br w:type="textWrapping"/>
            </w:r>
            <w:r>
              <w:rPr>
                <w:rFonts w:ascii="Arial Unicode MS" w:hAnsi="Arial Unicode MS" w:eastAsia="Arial Unicode MS"/>
                <w:b w:val="0"/>
                <w:color w:val="000000"/>
                <w:sz w:val="20"/>
              </w:rPr>
              <w:t>15时08分至16时09分</w:t>
            </w:r>
          </w:p>
        </w:tc>
        <w:tc>
          <w:tcPr>
            <w:tcW w:w="1368" w:type="dxa"/>
            <w:vAlign w:val="center"/>
          </w:tcPr>
          <w:p w14:paraId="69C927E4">
            <w:pPr>
              <w:spacing w:before="30" w:after="30" w:line="290" w:lineRule="exact"/>
            </w:pPr>
            <w:r>
              <w:rPr>
                <w:rFonts w:ascii="Arial Unicode MS" w:hAnsi="Arial Unicode MS" w:eastAsia="Arial Unicode MS"/>
                <w:b w:val="0"/>
                <w:color w:val="000000"/>
                <w:sz w:val="20"/>
              </w:rPr>
              <w:t>部门访谈</w:t>
            </w:r>
          </w:p>
        </w:tc>
        <w:tc>
          <w:tcPr>
            <w:tcW w:w="1656" w:type="dxa"/>
            <w:vAlign w:val="center"/>
          </w:tcPr>
          <w:p w14:paraId="118D84B9">
            <w:pPr>
              <w:spacing w:before="30" w:after="30" w:line="290" w:lineRule="exact"/>
            </w:pPr>
            <w:r>
              <w:rPr>
                <w:rFonts w:ascii="Arial Unicode MS" w:hAnsi="Arial Unicode MS" w:eastAsia="Arial Unicode MS"/>
                <w:color w:val="000000"/>
                <w:sz w:val="20"/>
              </w:rPr>
              <w:t>王文生</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AR51</w:t>
            </w:r>
          </w:p>
        </w:tc>
        <w:tc>
          <w:tcPr>
            <w:tcW w:w="2837" w:type="dxa"/>
            <w:vAlign w:val="center"/>
          </w:tcPr>
          <w:p w14:paraId="04325A62">
            <w:r>
              <w:fldChar w:fldCharType="begin"/>
            </w:r>
            <w:r>
              <w:instrText xml:space="preserve"> HYPERLINK "https://fcnpndc2ochr.feishu.cn/docx/MZ4AdKFUZoNLNZxhEffcsyGXnDc" \h </w:instrText>
            </w:r>
            <w:r>
              <w:fldChar w:fldCharType="separate"/>
            </w:r>
            <w:r>
              <w:rPr>
                <w:rFonts w:ascii="Arial Unicode MS" w:hAnsi="Arial Unicode MS" w:eastAsia="Arial Unicode MS"/>
                <w:color w:val="000000"/>
                <w:sz w:val="20"/>
              </w:rPr>
              <w:t>查看原始纪要</w:t>
            </w:r>
            <w:r>
              <w:rPr>
                <w:rFonts w:ascii="Arial Unicode MS" w:hAnsi="Arial Unicode MS" w:eastAsia="Arial Unicode MS"/>
                <w:color w:val="000000"/>
                <w:sz w:val="20"/>
              </w:rPr>
              <w:fldChar w:fldCharType="end"/>
            </w:r>
          </w:p>
        </w:tc>
      </w:tr>
      <w:tr w14:paraId="6BD0CF68">
        <w:trPr>
          <w:cantSplit/>
          <w:jc w:val="center"/>
        </w:trPr>
        <w:tc>
          <w:tcPr>
            <w:tcW w:w="1699" w:type="dxa"/>
            <w:shd w:val="clear" w:color="auto" w:fill="F1F5F8"/>
            <w:vAlign w:val="center"/>
          </w:tcPr>
          <w:p w14:paraId="448A6CC1">
            <w:pPr>
              <w:spacing w:before="30" w:after="30" w:line="290" w:lineRule="exact"/>
            </w:pPr>
            <w:r>
              <w:rPr>
                <w:rFonts w:ascii="Arial Unicode MS" w:hAnsi="Arial Unicode MS" w:eastAsia="Arial Unicode MS"/>
                <w:color w:val="000000"/>
                <w:sz w:val="20"/>
              </w:rPr>
              <w:t>物料与工程变更</w:t>
            </w:r>
          </w:p>
        </w:tc>
        <w:tc>
          <w:tcPr>
            <w:tcW w:w="2520" w:type="dxa"/>
            <w:shd w:val="clear" w:color="auto" w:fill="F1F5F8"/>
            <w:vAlign w:val="center"/>
          </w:tcPr>
          <w:p w14:paraId="1D34843B">
            <w:pPr>
              <w:spacing w:before="30" w:after="30" w:line="290" w:lineRule="exact"/>
            </w:pPr>
            <w:r>
              <w:rPr>
                <w:rFonts w:ascii="Arial Unicode MS" w:hAnsi="Arial Unicode MS" w:eastAsia="Arial Unicode MS"/>
                <w:b w:val="0"/>
                <w:color w:val="000000"/>
                <w:sz w:val="20"/>
              </w:rPr>
              <w:t>2026年9月28日</w:t>
            </w:r>
            <w:r>
              <w:br w:type="textWrapping"/>
            </w:r>
            <w:r>
              <w:rPr>
                <w:rFonts w:ascii="Arial Unicode MS" w:hAnsi="Arial Unicode MS" w:eastAsia="Arial Unicode MS"/>
                <w:b w:val="0"/>
                <w:color w:val="000000"/>
                <w:sz w:val="20"/>
              </w:rPr>
              <w:t>16时17分至16时35分</w:t>
            </w:r>
          </w:p>
        </w:tc>
        <w:tc>
          <w:tcPr>
            <w:tcW w:w="1368" w:type="dxa"/>
            <w:shd w:val="clear" w:color="auto" w:fill="F1F5F8"/>
            <w:vAlign w:val="center"/>
          </w:tcPr>
          <w:p w14:paraId="049F1830">
            <w:pPr>
              <w:spacing w:before="30" w:after="30" w:line="290" w:lineRule="exact"/>
            </w:pPr>
            <w:r>
              <w:rPr>
                <w:rFonts w:ascii="Arial Unicode MS" w:hAnsi="Arial Unicode MS" w:eastAsia="Arial Unicode MS"/>
                <w:b w:val="0"/>
                <w:color w:val="000000"/>
                <w:sz w:val="20"/>
              </w:rPr>
              <w:t>部门访谈</w:t>
            </w:r>
          </w:p>
        </w:tc>
        <w:tc>
          <w:tcPr>
            <w:tcW w:w="1656" w:type="dxa"/>
            <w:shd w:val="clear" w:color="auto" w:fill="F1F5F8"/>
            <w:vAlign w:val="center"/>
          </w:tcPr>
          <w:p w14:paraId="65B5B3AB">
            <w:pPr>
              <w:spacing w:before="30" w:after="30" w:line="290" w:lineRule="exact"/>
            </w:pPr>
            <w:r>
              <w:rPr>
                <w:rFonts w:ascii="Arial Unicode MS" w:hAnsi="Arial Unicode MS" w:eastAsia="Arial Unicode MS"/>
                <w:color w:val="000000"/>
                <w:sz w:val="20"/>
              </w:rPr>
              <w:t>李鑫</w:t>
            </w:r>
            <w:r>
              <w:rPr>
                <w:rFonts w:ascii="Arial Unicode MS" w:hAnsi="Arial Unicode MS" w:eastAsia="Arial Unicode MS"/>
                <w:color w:val="000000"/>
                <w:sz w:val="20"/>
              </w:rPr>
              <w:br w:type="textWrapping"/>
            </w:r>
            <w:r>
              <w:rPr>
                <w:rFonts w:ascii="Arial Unicode MS" w:hAnsi="Arial Unicode MS" w:eastAsia="Arial Unicode MS"/>
                <w:color w:val="000000"/>
                <w:sz w:val="20"/>
              </w:rPr>
              <w:t>AR222</w:t>
            </w:r>
          </w:p>
        </w:tc>
        <w:tc>
          <w:tcPr>
            <w:tcW w:w="2837" w:type="dxa"/>
            <w:shd w:val="clear" w:color="auto" w:fill="F1F5F8"/>
            <w:vAlign w:val="center"/>
          </w:tcPr>
          <w:p w14:paraId="3DBE16BC">
            <w:r>
              <w:fldChar w:fldCharType="begin"/>
            </w:r>
            <w:r>
              <w:instrText xml:space="preserve"> HYPERLINK "https://fcnpndc2ochr.feishu.cn/docx/CkhSdFukOoewPJxK9qgcrMz5nwd" \h </w:instrText>
            </w:r>
            <w:r>
              <w:fldChar w:fldCharType="separate"/>
            </w:r>
            <w:r>
              <w:rPr>
                <w:rFonts w:ascii="Arial Unicode MS" w:hAnsi="Arial Unicode MS" w:eastAsia="Arial Unicode MS"/>
                <w:color w:val="000000"/>
                <w:sz w:val="20"/>
              </w:rPr>
              <w:t>查看原始纪要</w:t>
            </w:r>
            <w:r>
              <w:rPr>
                <w:rFonts w:ascii="Arial Unicode MS" w:hAnsi="Arial Unicode MS" w:eastAsia="Arial Unicode MS"/>
                <w:color w:val="000000"/>
                <w:sz w:val="20"/>
              </w:rPr>
              <w:fldChar w:fldCharType="end"/>
            </w:r>
          </w:p>
        </w:tc>
      </w:tr>
      <w:tr w14:paraId="1A69B329">
        <w:trPr>
          <w:cantSplit/>
          <w:jc w:val="center"/>
        </w:trPr>
        <w:tc>
          <w:tcPr>
            <w:tcW w:w="1699" w:type="dxa"/>
            <w:vAlign w:val="center"/>
          </w:tcPr>
          <w:p w14:paraId="4A76AE37">
            <w:pPr>
              <w:spacing w:before="30" w:after="30" w:line="290" w:lineRule="exact"/>
            </w:pPr>
            <w:r>
              <w:rPr>
                <w:rFonts w:ascii="Arial Unicode MS" w:hAnsi="Arial Unicode MS" w:eastAsia="Arial Unicode MS"/>
                <w:color w:val="000000"/>
                <w:sz w:val="20"/>
              </w:rPr>
              <w:t>产测及结果使用</w:t>
            </w:r>
          </w:p>
        </w:tc>
        <w:tc>
          <w:tcPr>
            <w:tcW w:w="2520" w:type="dxa"/>
            <w:vAlign w:val="center"/>
          </w:tcPr>
          <w:p w14:paraId="4E1EA854">
            <w:pPr>
              <w:spacing w:before="30" w:after="30" w:line="290" w:lineRule="exact"/>
            </w:pPr>
            <w:r>
              <w:rPr>
                <w:rFonts w:ascii="Arial Unicode MS" w:hAnsi="Arial Unicode MS" w:eastAsia="Arial Unicode MS"/>
                <w:b w:val="0"/>
                <w:color w:val="000000"/>
                <w:sz w:val="20"/>
              </w:rPr>
              <w:t>2026年9月29日</w:t>
            </w:r>
            <w:r>
              <w:br w:type="textWrapping"/>
            </w:r>
            <w:r>
              <w:rPr>
                <w:rFonts w:ascii="Arial Unicode MS" w:hAnsi="Arial Unicode MS" w:eastAsia="Arial Unicode MS"/>
                <w:b w:val="0"/>
                <w:color w:val="000000"/>
                <w:sz w:val="20"/>
              </w:rPr>
              <w:t>14时02分至15时04分</w:t>
            </w:r>
          </w:p>
        </w:tc>
        <w:tc>
          <w:tcPr>
            <w:tcW w:w="1368" w:type="dxa"/>
            <w:vAlign w:val="center"/>
          </w:tcPr>
          <w:p w14:paraId="2662D576">
            <w:pPr>
              <w:spacing w:before="30" w:after="30" w:line="290" w:lineRule="exact"/>
            </w:pPr>
            <w:r>
              <w:rPr>
                <w:rFonts w:ascii="Arial Unicode MS" w:hAnsi="Arial Unicode MS" w:eastAsia="Arial Unicode MS"/>
                <w:b w:val="0"/>
                <w:color w:val="000000"/>
                <w:sz w:val="20"/>
              </w:rPr>
              <w:t>部门访谈</w:t>
            </w:r>
          </w:p>
        </w:tc>
        <w:tc>
          <w:tcPr>
            <w:tcW w:w="1656" w:type="dxa"/>
            <w:vAlign w:val="center"/>
          </w:tcPr>
          <w:p w14:paraId="0AC0FE7F">
            <w:pPr>
              <w:spacing w:before="30" w:after="30" w:line="290" w:lineRule="exact"/>
            </w:pPr>
            <w:r>
              <w:rPr>
                <w:rFonts w:ascii="Arial Unicode MS" w:hAnsi="Arial Unicode MS" w:eastAsia="Arial Unicode MS"/>
                <w:color w:val="000000"/>
                <w:sz w:val="20"/>
              </w:rPr>
              <w:t>陈玉京</w:t>
            </w:r>
            <w:r>
              <w:rPr>
                <w:rFonts w:ascii="Arial Unicode MS" w:hAnsi="Arial Unicode MS" w:eastAsia="Arial Unicode MS"/>
                <w:color w:val="000000"/>
                <w:sz w:val="20"/>
              </w:rPr>
              <w:br w:type="textWrapping"/>
            </w:r>
            <w:r>
              <w:rPr>
                <w:rFonts w:ascii="Arial Unicode MS" w:hAnsi="Arial Unicode MS" w:eastAsia="Arial Unicode MS"/>
                <w:color w:val="000000"/>
                <w:sz w:val="20"/>
              </w:rPr>
              <w:t>AR272 / AR2435</w:t>
            </w:r>
          </w:p>
        </w:tc>
        <w:tc>
          <w:tcPr>
            <w:tcW w:w="2837" w:type="dxa"/>
            <w:vAlign w:val="center"/>
          </w:tcPr>
          <w:p w14:paraId="5947E426">
            <w:r>
              <w:fldChar w:fldCharType="begin"/>
            </w:r>
            <w:r>
              <w:instrText xml:space="preserve"> HYPERLINK "https://fcnpndc2ochr.feishu.cn/docx/Iqngd2MZRoRrVFx7uoKc1Z3Qnie" \h </w:instrText>
            </w:r>
            <w:r>
              <w:fldChar w:fldCharType="separate"/>
            </w:r>
            <w:r>
              <w:rPr>
                <w:rFonts w:ascii="Arial Unicode MS" w:hAnsi="Arial Unicode MS" w:eastAsia="Arial Unicode MS"/>
                <w:color w:val="000000"/>
                <w:sz w:val="20"/>
              </w:rPr>
              <w:t>查看原始纪要</w:t>
            </w:r>
            <w:r>
              <w:rPr>
                <w:rFonts w:ascii="Arial Unicode MS" w:hAnsi="Arial Unicode MS" w:eastAsia="Arial Unicode MS"/>
                <w:color w:val="000000"/>
                <w:sz w:val="20"/>
              </w:rPr>
              <w:fldChar w:fldCharType="end"/>
            </w:r>
          </w:p>
        </w:tc>
      </w:tr>
      <w:tr w14:paraId="6D7A33D7">
        <w:trPr>
          <w:cantSplit/>
          <w:jc w:val="center"/>
        </w:trPr>
        <w:tc>
          <w:tcPr>
            <w:tcW w:w="1699" w:type="dxa"/>
            <w:shd w:val="clear" w:color="auto" w:fill="F1F5F8"/>
            <w:vAlign w:val="center"/>
          </w:tcPr>
          <w:p w14:paraId="3205224A">
            <w:pPr>
              <w:spacing w:before="30" w:after="30" w:line="290" w:lineRule="exact"/>
            </w:pPr>
            <w:r>
              <w:rPr>
                <w:rFonts w:ascii="Arial Unicode MS" w:hAnsi="Arial Unicode MS" w:eastAsia="Arial Unicode MS"/>
                <w:color w:val="000000"/>
                <w:sz w:val="20"/>
              </w:rPr>
              <w:t>仓储与物料</w:t>
            </w:r>
          </w:p>
        </w:tc>
        <w:tc>
          <w:tcPr>
            <w:tcW w:w="2520" w:type="dxa"/>
            <w:shd w:val="clear" w:color="auto" w:fill="F1F5F8"/>
            <w:vAlign w:val="center"/>
          </w:tcPr>
          <w:p w14:paraId="1DECEAA1">
            <w:pPr>
              <w:spacing w:before="30" w:after="30" w:line="290" w:lineRule="exact"/>
            </w:pPr>
            <w:r>
              <w:rPr>
                <w:rFonts w:ascii="Arial Unicode MS" w:hAnsi="Arial Unicode MS" w:eastAsia="Arial Unicode MS"/>
                <w:b w:val="0"/>
                <w:color w:val="000000"/>
                <w:sz w:val="20"/>
              </w:rPr>
              <w:t>2026年9月30日</w:t>
            </w:r>
            <w:r>
              <w:br w:type="textWrapping"/>
            </w:r>
            <w:r>
              <w:rPr>
                <w:rFonts w:ascii="Arial Unicode MS" w:hAnsi="Arial Unicode MS" w:eastAsia="Arial Unicode MS"/>
                <w:b w:val="0"/>
                <w:color w:val="000000"/>
                <w:sz w:val="20"/>
              </w:rPr>
              <w:t>11时06分至16时08分</w:t>
            </w:r>
          </w:p>
        </w:tc>
        <w:tc>
          <w:tcPr>
            <w:tcW w:w="1368" w:type="dxa"/>
            <w:shd w:val="clear" w:color="auto" w:fill="F1F5F8"/>
            <w:vAlign w:val="center"/>
          </w:tcPr>
          <w:p w14:paraId="0C8E8F4C">
            <w:pPr>
              <w:spacing w:before="30" w:after="30" w:line="290" w:lineRule="exact"/>
            </w:pPr>
            <w:r>
              <w:rPr>
                <w:rFonts w:ascii="Arial Unicode MS" w:hAnsi="Arial Unicode MS" w:eastAsia="Arial Unicode MS"/>
                <w:b w:val="0"/>
                <w:color w:val="000000"/>
                <w:sz w:val="20"/>
              </w:rPr>
              <w:t>部门访谈</w:t>
            </w:r>
          </w:p>
        </w:tc>
        <w:tc>
          <w:tcPr>
            <w:tcW w:w="1656" w:type="dxa"/>
            <w:shd w:val="clear" w:color="auto" w:fill="F1F5F8"/>
            <w:vAlign w:val="center"/>
          </w:tcPr>
          <w:p w14:paraId="27991491">
            <w:pPr>
              <w:spacing w:before="30" w:after="30" w:line="290" w:lineRule="exact"/>
            </w:pPr>
            <w:r>
              <w:rPr>
                <w:rFonts w:ascii="Arial Unicode MS" w:hAnsi="Arial Unicode MS" w:eastAsia="Arial Unicode MS"/>
                <w:color w:val="000000"/>
                <w:sz w:val="20"/>
              </w:rPr>
              <w:t>朱建军</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AR532 / AR533 / AR535</w:t>
            </w:r>
          </w:p>
        </w:tc>
        <w:tc>
          <w:tcPr>
            <w:tcW w:w="2837" w:type="dxa"/>
            <w:shd w:val="clear" w:color="auto" w:fill="F1F5F8"/>
            <w:vAlign w:val="center"/>
          </w:tcPr>
          <w:p w14:paraId="2E0DB0B5">
            <w:r>
              <w:fldChar w:fldCharType="begin"/>
            </w:r>
            <w:r>
              <w:instrText xml:space="preserve"> HYPERLINK "https://fcnpndc2ochr.feishu.cn/docx/FDo3d2tYNoXGFDxFKbicQRIVnPe" \h </w:instrText>
            </w:r>
            <w:r>
              <w:fldChar w:fldCharType="separate"/>
            </w:r>
            <w:r>
              <w:rPr>
                <w:rFonts w:ascii="Arial Unicode MS" w:hAnsi="Arial Unicode MS" w:eastAsia="Arial Unicode MS"/>
                <w:color w:val="000000"/>
                <w:sz w:val="20"/>
              </w:rPr>
              <w:t>查看原始纪要</w:t>
            </w:r>
            <w:r>
              <w:rPr>
                <w:rFonts w:ascii="Arial Unicode MS" w:hAnsi="Arial Unicode MS" w:eastAsia="Arial Unicode MS"/>
                <w:color w:val="000000"/>
                <w:sz w:val="20"/>
              </w:rPr>
              <w:fldChar w:fldCharType="end"/>
            </w:r>
          </w:p>
        </w:tc>
      </w:tr>
      <w:tr w14:paraId="5B5D27BB">
        <w:trPr>
          <w:cantSplit/>
          <w:jc w:val="center"/>
        </w:trPr>
        <w:tc>
          <w:tcPr>
            <w:tcW w:w="1699" w:type="dxa"/>
            <w:vAlign w:val="center"/>
          </w:tcPr>
          <w:p w14:paraId="7A8D0F48">
            <w:pPr>
              <w:spacing w:before="30" w:after="30" w:line="290" w:lineRule="exact"/>
            </w:pPr>
            <w:r>
              <w:rPr>
                <w:rFonts w:ascii="Arial Unicode MS" w:hAnsi="Arial Unicode MS" w:eastAsia="Arial Unicode MS"/>
                <w:color w:val="000000"/>
                <w:sz w:val="20"/>
              </w:rPr>
              <w:t>制造与人员作业</w:t>
            </w:r>
          </w:p>
        </w:tc>
        <w:tc>
          <w:tcPr>
            <w:tcW w:w="2520" w:type="dxa"/>
            <w:vAlign w:val="center"/>
          </w:tcPr>
          <w:p w14:paraId="6AC6FE21">
            <w:pPr>
              <w:spacing w:before="30" w:after="30" w:line="290" w:lineRule="exact"/>
            </w:pPr>
            <w:r>
              <w:rPr>
                <w:rFonts w:ascii="Arial Unicode MS" w:hAnsi="Arial Unicode MS" w:eastAsia="Arial Unicode MS"/>
                <w:b w:val="0"/>
                <w:color w:val="000000"/>
                <w:sz w:val="20"/>
              </w:rPr>
              <w:t>2026年10月10日</w:t>
            </w:r>
            <w:r>
              <w:br w:type="textWrapping"/>
            </w:r>
            <w:r>
              <w:rPr>
                <w:rFonts w:ascii="Arial Unicode MS" w:hAnsi="Arial Unicode MS" w:eastAsia="Arial Unicode MS"/>
                <w:b w:val="0"/>
                <w:color w:val="000000"/>
                <w:sz w:val="20"/>
              </w:rPr>
              <w:t>10时18分至10时43分</w:t>
            </w:r>
          </w:p>
        </w:tc>
        <w:tc>
          <w:tcPr>
            <w:tcW w:w="1368" w:type="dxa"/>
            <w:vAlign w:val="center"/>
          </w:tcPr>
          <w:p w14:paraId="4182BCF2">
            <w:pPr>
              <w:spacing w:before="30" w:after="30" w:line="290" w:lineRule="exact"/>
            </w:pPr>
            <w:r>
              <w:rPr>
                <w:rFonts w:ascii="Arial Unicode MS" w:hAnsi="Arial Unicode MS" w:eastAsia="Arial Unicode MS"/>
                <w:b w:val="0"/>
                <w:color w:val="000000"/>
                <w:sz w:val="20"/>
              </w:rPr>
              <w:t>部门访谈</w:t>
            </w:r>
          </w:p>
        </w:tc>
        <w:tc>
          <w:tcPr>
            <w:tcW w:w="1656" w:type="dxa"/>
            <w:vAlign w:val="center"/>
          </w:tcPr>
          <w:p w14:paraId="047CD6C6">
            <w:pPr>
              <w:spacing w:before="30" w:after="30" w:line="290" w:lineRule="exact"/>
            </w:pPr>
            <w:r>
              <w:rPr>
                <w:rFonts w:ascii="Arial Unicode MS" w:hAnsi="Arial Unicode MS" w:eastAsia="Arial Unicode MS"/>
                <w:color w:val="000000"/>
                <w:sz w:val="20"/>
              </w:rPr>
              <w:t>邓建坤</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AR565 / AR564</w:t>
            </w:r>
          </w:p>
        </w:tc>
        <w:tc>
          <w:tcPr>
            <w:tcW w:w="2837" w:type="dxa"/>
            <w:vAlign w:val="center"/>
          </w:tcPr>
          <w:p w14:paraId="28C67DB9">
            <w:r>
              <w:fldChar w:fldCharType="begin"/>
            </w:r>
            <w:r>
              <w:instrText xml:space="preserve"> HYPERLINK "https://fcnpndc2ochr.feishu.cn/docx/URdedNRadoBxwSxQtQHcwZg3nAf" \h </w:instrText>
            </w:r>
            <w:r>
              <w:fldChar w:fldCharType="separate"/>
            </w:r>
            <w:r>
              <w:rPr>
                <w:rFonts w:ascii="Arial Unicode MS" w:hAnsi="Arial Unicode MS" w:eastAsia="Arial Unicode MS"/>
                <w:color w:val="000000"/>
                <w:sz w:val="20"/>
              </w:rPr>
              <w:t>查看原始纪要</w:t>
            </w:r>
            <w:r>
              <w:rPr>
                <w:rFonts w:ascii="Arial Unicode MS" w:hAnsi="Arial Unicode MS" w:eastAsia="Arial Unicode MS"/>
                <w:color w:val="000000"/>
                <w:sz w:val="20"/>
              </w:rPr>
              <w:fldChar w:fldCharType="end"/>
            </w:r>
          </w:p>
        </w:tc>
      </w:tr>
      <w:tr w14:paraId="7E298101">
        <w:trPr>
          <w:cantSplit/>
          <w:jc w:val="center"/>
        </w:trPr>
        <w:tc>
          <w:tcPr>
            <w:tcW w:w="1699" w:type="dxa"/>
            <w:shd w:val="clear" w:color="auto" w:fill="F1F5F8"/>
            <w:vAlign w:val="center"/>
          </w:tcPr>
          <w:p w14:paraId="1376AAA1">
            <w:pPr>
              <w:spacing w:before="30" w:after="30" w:line="290" w:lineRule="exact"/>
            </w:pPr>
            <w:r>
              <w:rPr>
                <w:rFonts w:hint="eastAsia"/>
                <w:color w:val="000000"/>
                <w:sz w:val="20"/>
                <w:lang w:val="en-US" w:eastAsia="zh-CN"/>
              </w:rPr>
              <w:t>NPI</w:t>
            </w:r>
            <w:r>
              <w:rPr>
                <w:rFonts w:ascii="Arial Unicode MS" w:hAnsi="Arial Unicode MS" w:eastAsia="Arial Unicode MS"/>
                <w:color w:val="000000"/>
                <w:sz w:val="20"/>
              </w:rPr>
              <w:t xml:space="preserve"> 文控 资源</w:t>
            </w:r>
          </w:p>
        </w:tc>
        <w:tc>
          <w:tcPr>
            <w:tcW w:w="2520" w:type="dxa"/>
            <w:shd w:val="clear" w:color="auto" w:fill="F1F5F8"/>
            <w:vAlign w:val="center"/>
          </w:tcPr>
          <w:p w14:paraId="23CA3896">
            <w:pPr>
              <w:spacing w:before="30" w:after="30" w:line="290" w:lineRule="exact"/>
            </w:pPr>
            <w:r>
              <w:rPr>
                <w:rFonts w:ascii="Arial Unicode MS" w:hAnsi="Arial Unicode MS" w:eastAsia="Arial Unicode MS"/>
                <w:b w:val="0"/>
                <w:color w:val="000000"/>
                <w:sz w:val="20"/>
              </w:rPr>
              <w:t>2026年10月10日</w:t>
            </w:r>
            <w:r>
              <w:br w:type="textWrapping"/>
            </w:r>
            <w:r>
              <w:rPr>
                <w:rFonts w:ascii="Arial Unicode MS" w:hAnsi="Arial Unicode MS" w:eastAsia="Arial Unicode MS"/>
                <w:b w:val="0"/>
                <w:color w:val="000000"/>
                <w:sz w:val="20"/>
              </w:rPr>
              <w:t>14时02分至15时31分</w:t>
            </w:r>
          </w:p>
        </w:tc>
        <w:tc>
          <w:tcPr>
            <w:tcW w:w="1368" w:type="dxa"/>
            <w:shd w:val="clear" w:color="auto" w:fill="F1F5F8"/>
            <w:vAlign w:val="center"/>
          </w:tcPr>
          <w:p w14:paraId="74C9CF2E">
            <w:pPr>
              <w:spacing w:before="30" w:after="30" w:line="290" w:lineRule="exact"/>
            </w:pPr>
            <w:r>
              <w:rPr>
                <w:rFonts w:ascii="Arial Unicode MS" w:hAnsi="Arial Unicode MS" w:eastAsia="Arial Unicode MS"/>
                <w:b w:val="0"/>
                <w:color w:val="000000"/>
                <w:sz w:val="20"/>
              </w:rPr>
              <w:t>部门访谈</w:t>
            </w:r>
          </w:p>
        </w:tc>
        <w:tc>
          <w:tcPr>
            <w:tcW w:w="1656" w:type="dxa"/>
            <w:shd w:val="clear" w:color="auto" w:fill="F1F5F8"/>
            <w:vAlign w:val="center"/>
          </w:tcPr>
          <w:p w14:paraId="64B92D8B">
            <w:pPr>
              <w:spacing w:before="30" w:after="30" w:line="290" w:lineRule="exact"/>
            </w:pPr>
            <w:r>
              <w:rPr>
                <w:rFonts w:ascii="Arial Unicode MS" w:hAnsi="Arial Unicode MS" w:eastAsia="Arial Unicode MS"/>
                <w:color w:val="000000"/>
                <w:sz w:val="20"/>
              </w:rPr>
              <w:t>张震</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AR562 / AR567 / AR5621</w:t>
            </w:r>
          </w:p>
        </w:tc>
        <w:tc>
          <w:tcPr>
            <w:tcW w:w="2837" w:type="dxa"/>
            <w:shd w:val="clear" w:color="auto" w:fill="F1F5F8"/>
            <w:vAlign w:val="center"/>
          </w:tcPr>
          <w:p w14:paraId="10E8BF9B">
            <w:r>
              <w:fldChar w:fldCharType="begin"/>
            </w:r>
            <w:r>
              <w:instrText xml:space="preserve"> HYPERLINK "https://fcnpndc2ochr.feishu.cn/docx/PxF5duNdvot7kKxl08jc2xf0nAc" \h </w:instrText>
            </w:r>
            <w:r>
              <w:fldChar w:fldCharType="separate"/>
            </w:r>
            <w:r>
              <w:rPr>
                <w:rFonts w:ascii="Arial Unicode MS" w:hAnsi="Arial Unicode MS" w:eastAsia="Arial Unicode MS"/>
                <w:color w:val="000000"/>
                <w:sz w:val="20"/>
              </w:rPr>
              <w:t>查看原始纪要</w:t>
            </w:r>
            <w:r>
              <w:rPr>
                <w:rFonts w:ascii="Arial Unicode MS" w:hAnsi="Arial Unicode MS" w:eastAsia="Arial Unicode MS"/>
                <w:color w:val="000000"/>
                <w:sz w:val="20"/>
              </w:rPr>
              <w:fldChar w:fldCharType="end"/>
            </w:r>
          </w:p>
        </w:tc>
      </w:tr>
      <w:tr w14:paraId="7BA9081C">
        <w:trPr>
          <w:jc w:val="center"/>
        </w:trPr>
        <w:tc>
          <w:tcPr>
            <w:tcW w:w="1699" w:type="dxa"/>
            <w:vAlign w:val="center"/>
          </w:tcPr>
          <w:p w14:paraId="3B9113B5">
            <w:pPr>
              <w:spacing w:line="280" w:lineRule="exact"/>
            </w:pPr>
            <w:r>
              <w:rPr>
                <w:rFonts w:ascii="Arial Unicode MS" w:hAnsi="Arial Unicode MS" w:eastAsia="Arial Unicode MS"/>
                <w:color w:val="000000"/>
                <w:sz w:val="20"/>
              </w:rPr>
              <w:t>质量检验及追溯</w:t>
            </w:r>
          </w:p>
        </w:tc>
        <w:tc>
          <w:tcPr>
            <w:tcW w:w="2520" w:type="dxa"/>
            <w:vAlign w:val="center"/>
          </w:tcPr>
          <w:p w14:paraId="0DDC2786">
            <w:pPr>
              <w:spacing w:line="280" w:lineRule="exact"/>
            </w:pPr>
            <w:r>
              <w:rPr>
                <w:rFonts w:ascii="Arial Unicode MS" w:hAnsi="Arial Unicode MS" w:eastAsia="Arial Unicode MS"/>
                <w:color w:val="000000"/>
                <w:sz w:val="20"/>
              </w:rPr>
              <w:t>2026年10月20日</w:t>
            </w:r>
            <w:r>
              <w:rPr>
                <w:rFonts w:ascii="Arial Unicode MS" w:hAnsi="Arial Unicode MS" w:eastAsia="Arial Unicode MS"/>
                <w:color w:val="000000"/>
                <w:sz w:val="20"/>
              </w:rPr>
              <w:br w:type="textWrapping"/>
            </w:r>
            <w:r>
              <w:rPr>
                <w:rFonts w:ascii="Arial Unicode MS" w:hAnsi="Arial Unicode MS" w:eastAsia="Arial Unicode MS"/>
                <w:color w:val="000000"/>
                <w:sz w:val="20"/>
              </w:rPr>
              <w:t>10时02分至11时55分</w:t>
            </w:r>
          </w:p>
        </w:tc>
        <w:tc>
          <w:tcPr>
            <w:tcW w:w="1368" w:type="dxa"/>
            <w:vAlign w:val="center"/>
          </w:tcPr>
          <w:p w14:paraId="0E1546FD">
            <w:pPr>
              <w:spacing w:line="280" w:lineRule="exact"/>
            </w:pPr>
            <w:r>
              <w:rPr>
                <w:rFonts w:ascii="Arial Unicode MS" w:hAnsi="Arial Unicode MS" w:eastAsia="Arial Unicode MS"/>
                <w:color w:val="000000"/>
                <w:sz w:val="20"/>
              </w:rPr>
              <w:t>部门访谈</w:t>
            </w:r>
          </w:p>
        </w:tc>
        <w:tc>
          <w:tcPr>
            <w:tcW w:w="1656" w:type="dxa"/>
            <w:vAlign w:val="center"/>
          </w:tcPr>
          <w:p w14:paraId="2A4251FC">
            <w:pPr>
              <w:spacing w:line="280" w:lineRule="exact"/>
            </w:pPr>
            <w:r>
              <w:rPr>
                <w:rFonts w:ascii="Arial Unicode MS" w:hAnsi="Arial Unicode MS" w:eastAsia="Arial Unicode MS"/>
                <w:color w:val="000000"/>
                <w:sz w:val="20"/>
              </w:rPr>
              <w:t>侯利鹏 AR622</w:t>
            </w:r>
            <w:r>
              <w:rPr>
                <w:rFonts w:ascii="Arial Unicode MS" w:hAnsi="Arial Unicode MS" w:eastAsia="Arial Unicode MS"/>
                <w:color w:val="000000"/>
                <w:sz w:val="20"/>
              </w:rPr>
              <w:br w:type="textWrapping"/>
            </w:r>
            <w:r>
              <w:rPr>
                <w:rFonts w:ascii="Arial Unicode MS" w:hAnsi="Arial Unicode MS" w:eastAsia="Arial Unicode MS"/>
                <w:color w:val="000000"/>
                <w:sz w:val="20"/>
              </w:rPr>
              <w:t>朱一泓 AR641</w:t>
            </w:r>
          </w:p>
        </w:tc>
        <w:tc>
          <w:tcPr>
            <w:tcW w:w="2837" w:type="dxa"/>
            <w:vAlign w:val="center"/>
          </w:tcPr>
          <w:p w14:paraId="4011CC64">
            <w:pPr>
              <w:spacing w:line="280" w:lineRule="exact"/>
            </w:pPr>
            <w:r>
              <w:fldChar w:fldCharType="begin"/>
            </w:r>
            <w:r>
              <w:instrText xml:space="preserve"> HYPERLINK "https://fcnpndc2ochr.feishu.cn/docx/Mpi4dHD6KoxTgGxQ93RcdT3SnHe" \h </w:instrText>
            </w:r>
            <w:r>
              <w:fldChar w:fldCharType="separate"/>
            </w:r>
            <w:r>
              <w:rPr>
                <w:rFonts w:ascii="Arial Unicode MS" w:hAnsi="Arial Unicode MS" w:eastAsia="Arial Unicode MS"/>
                <w:color w:val="0563C1"/>
                <w:sz w:val="20"/>
              </w:rPr>
              <w:t>查看原始纪要</w:t>
            </w:r>
            <w:r>
              <w:rPr>
                <w:rFonts w:ascii="Arial Unicode MS" w:hAnsi="Arial Unicode MS" w:eastAsia="Arial Unicode MS"/>
                <w:color w:val="0563C1"/>
                <w:sz w:val="20"/>
              </w:rPr>
              <w:fldChar w:fldCharType="end"/>
            </w:r>
          </w:p>
        </w:tc>
      </w:tr>
      <w:tr w14:paraId="25F03CBF">
        <w:trPr>
          <w:cantSplit/>
          <w:jc w:val="center"/>
        </w:trPr>
        <w:tc>
          <w:tcPr>
            <w:tcW w:w="1699" w:type="dxa"/>
            <w:vAlign w:val="center"/>
          </w:tcPr>
          <w:p w14:paraId="6B9F08FF">
            <w:pPr>
              <w:spacing w:line="280" w:lineRule="exact"/>
            </w:pPr>
            <w:r>
              <w:rPr>
                <w:rFonts w:ascii="Arial Unicode MS" w:hAnsi="Arial Unicode MS" w:eastAsia="Arial Unicode MS"/>
                <w:color w:val="000000"/>
                <w:sz w:val="20"/>
              </w:rPr>
              <w:t>质量过程检补充调研</w:t>
            </w:r>
          </w:p>
        </w:tc>
        <w:tc>
          <w:tcPr>
            <w:tcW w:w="2520" w:type="dxa"/>
            <w:vAlign w:val="center"/>
          </w:tcPr>
          <w:p w14:paraId="3769FA1B">
            <w:pPr>
              <w:spacing w:line="280" w:lineRule="exact"/>
            </w:pPr>
            <w:r>
              <w:rPr>
                <w:rFonts w:ascii="Arial Unicode MS" w:hAnsi="Arial Unicode MS" w:eastAsia="Arial Unicode MS"/>
                <w:color w:val="000000"/>
                <w:sz w:val="20"/>
              </w:rPr>
              <w:t>2026年10月23日</w:t>
            </w:r>
            <w:r>
              <w:rPr>
                <w:rFonts w:ascii="Arial Unicode MS" w:hAnsi="Arial Unicode MS" w:eastAsia="Arial Unicode MS"/>
                <w:color w:val="000000"/>
                <w:sz w:val="20"/>
              </w:rPr>
              <w:br w:type="textWrapping"/>
            </w:r>
            <w:r>
              <w:rPr>
                <w:rFonts w:ascii="Arial Unicode MS" w:hAnsi="Arial Unicode MS" w:eastAsia="Arial Unicode MS"/>
                <w:color w:val="000000"/>
                <w:sz w:val="20"/>
              </w:rPr>
              <w:t>14时04分至14时14分</w:t>
            </w:r>
          </w:p>
        </w:tc>
        <w:tc>
          <w:tcPr>
            <w:tcW w:w="1368" w:type="dxa"/>
            <w:vAlign w:val="center"/>
          </w:tcPr>
          <w:p w14:paraId="47FF7A95">
            <w:pPr>
              <w:spacing w:line="280" w:lineRule="exact"/>
            </w:pPr>
            <w:r>
              <w:rPr>
                <w:rFonts w:ascii="Arial Unicode MS" w:hAnsi="Arial Unicode MS" w:eastAsia="Arial Unicode MS"/>
                <w:color w:val="000000"/>
                <w:sz w:val="20"/>
              </w:rPr>
              <w:t>补充访谈</w:t>
            </w:r>
          </w:p>
        </w:tc>
        <w:tc>
          <w:tcPr>
            <w:tcW w:w="1656" w:type="dxa"/>
            <w:vAlign w:val="center"/>
          </w:tcPr>
          <w:p w14:paraId="3DB744D7">
            <w:pPr>
              <w:spacing w:line="280" w:lineRule="exact"/>
            </w:pPr>
            <w:r>
              <w:rPr>
                <w:rFonts w:ascii="Arial Unicode MS" w:hAnsi="Arial Unicode MS" w:eastAsia="Arial Unicode MS"/>
                <w:color w:val="000000"/>
                <w:sz w:val="20"/>
              </w:rPr>
              <w:t>李豪</w:t>
            </w:r>
            <w:r>
              <w:rPr>
                <w:rFonts w:ascii="Arial Unicode MS" w:hAnsi="Arial Unicode MS" w:eastAsia="Arial Unicode MS"/>
                <w:color w:val="000000"/>
                <w:sz w:val="20"/>
              </w:rPr>
              <w:br w:type="textWrapping"/>
            </w:r>
            <w:r>
              <w:rPr>
                <w:rFonts w:ascii="Arial Unicode MS" w:hAnsi="Arial Unicode MS" w:eastAsia="Arial Unicode MS"/>
                <w:color w:val="000000"/>
                <w:sz w:val="20"/>
              </w:rPr>
              <w:t>AR642</w:t>
            </w:r>
          </w:p>
        </w:tc>
        <w:tc>
          <w:tcPr>
            <w:tcW w:w="2837" w:type="dxa"/>
            <w:vAlign w:val="center"/>
          </w:tcPr>
          <w:p w14:paraId="7F8C0143">
            <w:pPr>
              <w:spacing w:line="280" w:lineRule="exact"/>
            </w:pPr>
            <w:r>
              <w:fldChar w:fldCharType="begin"/>
            </w:r>
            <w:r>
              <w:instrText xml:space="preserve"> HYPERLINK "https://fcnpndc2ochr.feishu.cn/docx/Rc2Ydv3jNo5Djxx6zLNcY4BHnKI" \h </w:instrText>
            </w:r>
            <w:r>
              <w:fldChar w:fldCharType="separate"/>
            </w:r>
            <w:r>
              <w:rPr>
                <w:rFonts w:ascii="Arial Unicode MS" w:hAnsi="Arial Unicode MS" w:eastAsia="Arial Unicode MS"/>
                <w:color w:val="0563C1"/>
                <w:sz w:val="20"/>
              </w:rPr>
              <w:t>查看原始纪要</w:t>
            </w:r>
            <w:r>
              <w:rPr>
                <w:rFonts w:ascii="Arial Unicode MS" w:hAnsi="Arial Unicode MS" w:eastAsia="Arial Unicode MS"/>
                <w:color w:val="0563C1"/>
                <w:sz w:val="20"/>
              </w:rPr>
              <w:fldChar w:fldCharType="end"/>
            </w:r>
          </w:p>
        </w:tc>
      </w:tr>
      <w:tr w14:paraId="49A55FB7">
        <w:trPr>
          <w:cantSplit/>
          <w:jc w:val="center"/>
        </w:trPr>
        <w:tc>
          <w:tcPr>
            <w:tcW w:w="1699" w:type="dxa"/>
            <w:vAlign w:val="center"/>
          </w:tcPr>
          <w:p w14:paraId="037B4F05">
            <w:pPr>
              <w:spacing w:line="280" w:lineRule="exact"/>
            </w:pPr>
            <w:r>
              <w:rPr>
                <w:rFonts w:ascii="Arial Unicode MS" w:hAnsi="Arial Unicode MS" w:eastAsia="Arial Unicode MS"/>
                <w:color w:val="000000"/>
                <w:sz w:val="20"/>
              </w:rPr>
              <w:t>生产细节与系统操作</w:t>
            </w:r>
          </w:p>
        </w:tc>
        <w:tc>
          <w:tcPr>
            <w:tcW w:w="2520" w:type="dxa"/>
            <w:vAlign w:val="center"/>
          </w:tcPr>
          <w:p w14:paraId="2692FAC0">
            <w:pPr>
              <w:spacing w:line="280" w:lineRule="exact"/>
            </w:pPr>
            <w:r>
              <w:rPr>
                <w:rFonts w:ascii="Arial Unicode MS" w:hAnsi="Arial Unicode MS" w:eastAsia="Arial Unicode MS"/>
                <w:color w:val="000000"/>
                <w:sz w:val="20"/>
              </w:rPr>
              <w:t>2026年10月23日</w:t>
            </w:r>
            <w:r>
              <w:rPr>
                <w:rFonts w:ascii="Arial Unicode MS" w:hAnsi="Arial Unicode MS" w:eastAsia="Arial Unicode MS"/>
                <w:color w:val="000000"/>
                <w:sz w:val="20"/>
              </w:rPr>
              <w:br w:type="textWrapping"/>
            </w:r>
            <w:r>
              <w:rPr>
                <w:rFonts w:ascii="Arial Unicode MS" w:hAnsi="Arial Unicode MS" w:eastAsia="Arial Unicode MS"/>
                <w:color w:val="000000"/>
                <w:sz w:val="20"/>
              </w:rPr>
              <w:t>14时15分至14时59分</w:t>
            </w:r>
          </w:p>
        </w:tc>
        <w:tc>
          <w:tcPr>
            <w:tcW w:w="1368" w:type="dxa"/>
            <w:vAlign w:val="center"/>
          </w:tcPr>
          <w:p w14:paraId="002BF022">
            <w:pPr>
              <w:spacing w:line="280" w:lineRule="exact"/>
            </w:pPr>
            <w:r>
              <w:rPr>
                <w:rFonts w:ascii="Arial Unicode MS" w:hAnsi="Arial Unicode MS" w:eastAsia="Arial Unicode MS"/>
                <w:color w:val="000000"/>
                <w:sz w:val="20"/>
              </w:rPr>
              <w:t>补充访谈</w:t>
            </w:r>
          </w:p>
        </w:tc>
        <w:tc>
          <w:tcPr>
            <w:tcW w:w="1656" w:type="dxa"/>
            <w:vAlign w:val="center"/>
          </w:tcPr>
          <w:p w14:paraId="2346B280">
            <w:pPr>
              <w:spacing w:line="280" w:lineRule="exact"/>
            </w:pPr>
            <w:r>
              <w:rPr>
                <w:rFonts w:ascii="Arial Unicode MS" w:hAnsi="Arial Unicode MS" w:eastAsia="Arial Unicode MS"/>
                <w:color w:val="000000"/>
                <w:sz w:val="20"/>
              </w:rPr>
              <w:t>朱建军</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AR532 / AR533 / AR535</w:t>
            </w:r>
          </w:p>
        </w:tc>
        <w:tc>
          <w:tcPr>
            <w:tcW w:w="2837" w:type="dxa"/>
            <w:vAlign w:val="center"/>
          </w:tcPr>
          <w:p w14:paraId="1811D556">
            <w:pPr>
              <w:spacing w:line="280" w:lineRule="exact"/>
            </w:pPr>
            <w:r>
              <w:fldChar w:fldCharType="begin"/>
            </w:r>
            <w:r>
              <w:instrText xml:space="preserve"> HYPERLINK "https://fcnpndc2ochr.feishu.cn/docx/ZwNPddEjVoXh6jxJ6c3csSa3nIh" \h </w:instrText>
            </w:r>
            <w:r>
              <w:fldChar w:fldCharType="separate"/>
            </w:r>
            <w:r>
              <w:rPr>
                <w:rFonts w:ascii="Arial Unicode MS" w:hAnsi="Arial Unicode MS" w:eastAsia="Arial Unicode MS"/>
                <w:color w:val="0563C1"/>
                <w:sz w:val="20"/>
              </w:rPr>
              <w:t>查看原始纪要</w:t>
            </w:r>
            <w:r>
              <w:rPr>
                <w:rFonts w:ascii="Arial Unicode MS" w:hAnsi="Arial Unicode MS" w:eastAsia="Arial Unicode MS"/>
                <w:color w:val="0563C1"/>
                <w:sz w:val="20"/>
              </w:rPr>
              <w:fldChar w:fldCharType="end"/>
            </w:r>
          </w:p>
        </w:tc>
      </w:tr>
      <w:tr w14:paraId="66DFBCBC">
        <w:trPr>
          <w:cantSplit/>
          <w:jc w:val="center"/>
        </w:trPr>
        <w:tc>
          <w:tcPr>
            <w:tcW w:w="1699" w:type="dxa"/>
            <w:vAlign w:val="center"/>
          </w:tcPr>
          <w:p w14:paraId="3304B49B">
            <w:pPr>
              <w:spacing w:line="280" w:lineRule="exact"/>
            </w:pPr>
            <w:r>
              <w:rPr>
                <w:rFonts w:ascii="Arial Unicode MS" w:hAnsi="Arial Unicode MS" w:eastAsia="Arial Unicode MS"/>
                <w:color w:val="000000"/>
                <w:sz w:val="20"/>
              </w:rPr>
              <w:t>品质文员排检与日报</w:t>
            </w:r>
          </w:p>
        </w:tc>
        <w:tc>
          <w:tcPr>
            <w:tcW w:w="2520" w:type="dxa"/>
            <w:vAlign w:val="center"/>
          </w:tcPr>
          <w:p w14:paraId="2C9CFDAD">
            <w:pPr>
              <w:spacing w:line="280" w:lineRule="exact"/>
            </w:pPr>
            <w:r>
              <w:rPr>
                <w:rFonts w:ascii="Arial Unicode MS" w:hAnsi="Arial Unicode MS" w:eastAsia="Arial Unicode MS"/>
                <w:color w:val="000000"/>
                <w:sz w:val="20"/>
              </w:rPr>
              <w:t>2026年10月23日</w:t>
            </w:r>
            <w:r>
              <w:rPr>
                <w:rFonts w:ascii="Arial Unicode MS" w:hAnsi="Arial Unicode MS" w:eastAsia="Arial Unicode MS"/>
                <w:color w:val="000000"/>
                <w:sz w:val="20"/>
              </w:rPr>
              <w:br w:type="textWrapping"/>
            </w:r>
            <w:r>
              <w:rPr>
                <w:rFonts w:ascii="Arial Unicode MS" w:hAnsi="Arial Unicode MS" w:eastAsia="Arial Unicode MS"/>
                <w:color w:val="000000"/>
                <w:sz w:val="20"/>
              </w:rPr>
              <w:t>15时34分至16时24分</w:t>
            </w:r>
          </w:p>
        </w:tc>
        <w:tc>
          <w:tcPr>
            <w:tcW w:w="1368" w:type="dxa"/>
            <w:vAlign w:val="center"/>
          </w:tcPr>
          <w:p w14:paraId="0DCD9643">
            <w:pPr>
              <w:spacing w:line="280" w:lineRule="exact"/>
            </w:pPr>
            <w:r>
              <w:rPr>
                <w:rFonts w:ascii="Arial Unicode MS" w:hAnsi="Arial Unicode MS" w:eastAsia="Arial Unicode MS"/>
                <w:color w:val="000000"/>
                <w:sz w:val="20"/>
              </w:rPr>
              <w:t>补充访谈</w:t>
            </w:r>
          </w:p>
        </w:tc>
        <w:tc>
          <w:tcPr>
            <w:tcW w:w="1656" w:type="dxa"/>
            <w:vAlign w:val="center"/>
          </w:tcPr>
          <w:p w14:paraId="3F78E159">
            <w:pPr>
              <w:spacing w:line="280" w:lineRule="exact"/>
            </w:pPr>
            <w:r>
              <w:rPr>
                <w:rFonts w:ascii="Arial Unicode MS" w:hAnsi="Arial Unicode MS" w:eastAsia="Arial Unicode MS"/>
                <w:color w:val="000000"/>
                <w:sz w:val="20"/>
              </w:rPr>
              <w:t>覃春榕</w:t>
            </w:r>
            <w:r>
              <w:rPr>
                <w:rFonts w:ascii="Arial Unicode MS" w:hAnsi="Arial Unicode MS" w:eastAsia="Arial Unicode MS"/>
                <w:color w:val="000000"/>
                <w:sz w:val="20"/>
              </w:rPr>
              <w:br w:type="textWrapping"/>
            </w:r>
            <w:r>
              <w:rPr>
                <w:rFonts w:ascii="Arial Unicode MS" w:hAnsi="Arial Unicode MS" w:eastAsia="Arial Unicode MS"/>
                <w:color w:val="000000"/>
                <w:sz w:val="20"/>
              </w:rPr>
              <w:t>AR6999</w:t>
            </w:r>
          </w:p>
        </w:tc>
        <w:tc>
          <w:tcPr>
            <w:tcW w:w="2837" w:type="dxa"/>
            <w:vAlign w:val="center"/>
          </w:tcPr>
          <w:p w14:paraId="5F3B1B1E">
            <w:pPr>
              <w:spacing w:line="280" w:lineRule="exact"/>
            </w:pPr>
            <w:r>
              <w:fldChar w:fldCharType="begin"/>
            </w:r>
            <w:r>
              <w:instrText xml:space="preserve"> HYPERLINK "https://fcnpndc2ochr.feishu.cn/docx/C5t3dVDqKoGOpexjIgMc1rijnBb" \h </w:instrText>
            </w:r>
            <w:r>
              <w:fldChar w:fldCharType="separate"/>
            </w:r>
            <w:r>
              <w:rPr>
                <w:rFonts w:ascii="Arial Unicode MS" w:hAnsi="Arial Unicode MS" w:eastAsia="Arial Unicode MS"/>
                <w:color w:val="0563C1"/>
                <w:sz w:val="20"/>
              </w:rPr>
              <w:t>查看原始纪要</w:t>
            </w:r>
            <w:r>
              <w:rPr>
                <w:rFonts w:ascii="Arial Unicode MS" w:hAnsi="Arial Unicode MS" w:eastAsia="Arial Unicode MS"/>
                <w:color w:val="0563C1"/>
                <w:sz w:val="20"/>
              </w:rPr>
              <w:fldChar w:fldCharType="end"/>
            </w:r>
          </w:p>
        </w:tc>
      </w:tr>
      <w:tr w14:paraId="79117D73">
        <w:trPr>
          <w:cantSplit/>
          <w:jc w:val="center"/>
        </w:trPr>
        <w:tc>
          <w:tcPr>
            <w:tcW w:w="1699" w:type="dxa"/>
            <w:vAlign w:val="center"/>
          </w:tcPr>
          <w:p w14:paraId="574D9CBF">
            <w:pPr>
              <w:spacing w:line="280" w:lineRule="exact"/>
            </w:pPr>
            <w:r>
              <w:rPr>
                <w:rFonts w:ascii="Arial Unicode MS" w:hAnsi="Arial Unicode MS" w:eastAsia="Arial Unicode MS"/>
                <w:color w:val="000000"/>
                <w:sz w:val="20"/>
              </w:rPr>
              <w:t>生产文员排班与执行</w:t>
            </w:r>
          </w:p>
        </w:tc>
        <w:tc>
          <w:tcPr>
            <w:tcW w:w="2520" w:type="dxa"/>
            <w:vAlign w:val="center"/>
          </w:tcPr>
          <w:p w14:paraId="6EFB363E">
            <w:pPr>
              <w:spacing w:line="280" w:lineRule="exact"/>
            </w:pPr>
            <w:r>
              <w:rPr>
                <w:rFonts w:ascii="Arial Unicode MS" w:hAnsi="Arial Unicode MS" w:eastAsia="Arial Unicode MS"/>
                <w:color w:val="000000"/>
                <w:sz w:val="20"/>
              </w:rPr>
              <w:t>2026年10月23日</w:t>
            </w:r>
            <w:r>
              <w:rPr>
                <w:rFonts w:ascii="Arial Unicode MS" w:hAnsi="Arial Unicode MS" w:eastAsia="Arial Unicode MS"/>
                <w:color w:val="000000"/>
                <w:sz w:val="20"/>
              </w:rPr>
              <w:br w:type="textWrapping"/>
            </w:r>
            <w:r>
              <w:rPr>
                <w:rFonts w:ascii="Arial Unicode MS" w:hAnsi="Arial Unicode MS" w:eastAsia="Arial Unicode MS"/>
                <w:color w:val="000000"/>
                <w:sz w:val="20"/>
              </w:rPr>
              <w:t>16时59分至17时47分</w:t>
            </w:r>
          </w:p>
        </w:tc>
        <w:tc>
          <w:tcPr>
            <w:tcW w:w="1368" w:type="dxa"/>
            <w:vAlign w:val="center"/>
          </w:tcPr>
          <w:p w14:paraId="3680648B">
            <w:pPr>
              <w:spacing w:line="280" w:lineRule="exact"/>
            </w:pPr>
            <w:r>
              <w:rPr>
                <w:rFonts w:ascii="Arial Unicode MS" w:hAnsi="Arial Unicode MS" w:eastAsia="Arial Unicode MS"/>
                <w:color w:val="000000"/>
                <w:sz w:val="20"/>
              </w:rPr>
              <w:t>补充访谈</w:t>
            </w:r>
          </w:p>
        </w:tc>
        <w:tc>
          <w:tcPr>
            <w:tcW w:w="1656" w:type="dxa"/>
            <w:vAlign w:val="center"/>
          </w:tcPr>
          <w:p w14:paraId="579247C5">
            <w:pPr>
              <w:spacing w:line="280" w:lineRule="exact"/>
            </w:pPr>
            <w:r>
              <w:rPr>
                <w:rFonts w:ascii="Arial Unicode MS" w:hAnsi="Arial Unicode MS" w:eastAsia="Arial Unicode MS"/>
                <w:color w:val="000000"/>
                <w:sz w:val="20"/>
              </w:rPr>
              <w:t>张芳芳</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AR561</w:t>
            </w:r>
          </w:p>
        </w:tc>
        <w:tc>
          <w:tcPr>
            <w:tcW w:w="2837" w:type="dxa"/>
            <w:vAlign w:val="center"/>
          </w:tcPr>
          <w:p w14:paraId="4FD56401">
            <w:pPr>
              <w:spacing w:line="280" w:lineRule="exact"/>
            </w:pPr>
            <w:r>
              <w:fldChar w:fldCharType="begin"/>
            </w:r>
            <w:r>
              <w:instrText xml:space="preserve"> HYPERLINK "https://fcnpndc2ochr.feishu.cn/docx/Q5hrdDD6YotGfjxpjlUcGCyvn5d" \h </w:instrText>
            </w:r>
            <w:r>
              <w:fldChar w:fldCharType="separate"/>
            </w:r>
            <w:r>
              <w:rPr>
                <w:rFonts w:ascii="Arial Unicode MS" w:hAnsi="Arial Unicode MS" w:eastAsia="Arial Unicode MS"/>
                <w:color w:val="0563C1"/>
                <w:sz w:val="20"/>
              </w:rPr>
              <w:t>查看原始纪要</w:t>
            </w:r>
            <w:r>
              <w:rPr>
                <w:rFonts w:ascii="Arial Unicode MS" w:hAnsi="Arial Unicode MS" w:eastAsia="Arial Unicode MS"/>
                <w:color w:val="0563C1"/>
                <w:sz w:val="20"/>
              </w:rPr>
              <w:fldChar w:fldCharType="end"/>
            </w:r>
          </w:p>
        </w:tc>
      </w:tr>
      <w:tr w14:paraId="2420AE13">
        <w:trPr>
          <w:cantSplit/>
          <w:jc w:val="center"/>
        </w:trPr>
        <w:tc>
          <w:tcPr>
            <w:tcW w:w="1699" w:type="dxa"/>
            <w:vAlign w:val="center"/>
          </w:tcPr>
          <w:p w14:paraId="3A96351C">
            <w:pPr>
              <w:spacing w:line="280" w:lineRule="exact"/>
            </w:pPr>
            <w:r>
              <w:rPr>
                <w:rFonts w:ascii="Arial Unicode MS" w:hAnsi="Arial Unicode MS" w:eastAsia="Arial Unicode MS"/>
                <w:color w:val="000000"/>
                <w:sz w:val="20"/>
              </w:rPr>
              <w:t>机加工文员生产与交接</w:t>
            </w:r>
          </w:p>
        </w:tc>
        <w:tc>
          <w:tcPr>
            <w:tcW w:w="2520" w:type="dxa"/>
            <w:vAlign w:val="center"/>
          </w:tcPr>
          <w:p w14:paraId="5BADE88D">
            <w:pPr>
              <w:spacing w:line="280" w:lineRule="exact"/>
            </w:pPr>
            <w:r>
              <w:rPr>
                <w:rFonts w:ascii="Arial Unicode MS" w:hAnsi="Arial Unicode MS" w:eastAsia="Arial Unicode MS"/>
                <w:color w:val="000000"/>
                <w:sz w:val="20"/>
              </w:rPr>
              <w:t>2026年10月23日</w:t>
            </w:r>
            <w:r>
              <w:rPr>
                <w:rFonts w:ascii="Arial Unicode MS" w:hAnsi="Arial Unicode MS" w:eastAsia="Arial Unicode MS"/>
                <w:color w:val="000000"/>
                <w:sz w:val="20"/>
              </w:rPr>
              <w:br w:type="textWrapping"/>
            </w:r>
            <w:r>
              <w:rPr>
                <w:rFonts w:ascii="Arial Unicode MS" w:hAnsi="Arial Unicode MS" w:eastAsia="Arial Unicode MS"/>
                <w:color w:val="000000"/>
                <w:sz w:val="20"/>
              </w:rPr>
              <w:t>17时50分至17时57分</w:t>
            </w:r>
          </w:p>
        </w:tc>
        <w:tc>
          <w:tcPr>
            <w:tcW w:w="1368" w:type="dxa"/>
            <w:vAlign w:val="center"/>
          </w:tcPr>
          <w:p w14:paraId="584AF54F">
            <w:pPr>
              <w:spacing w:line="280" w:lineRule="exact"/>
            </w:pPr>
            <w:r>
              <w:rPr>
                <w:rFonts w:ascii="Arial Unicode MS" w:hAnsi="Arial Unicode MS" w:eastAsia="Arial Unicode MS"/>
                <w:color w:val="000000"/>
                <w:sz w:val="20"/>
              </w:rPr>
              <w:t>补充访谈</w:t>
            </w:r>
          </w:p>
        </w:tc>
        <w:tc>
          <w:tcPr>
            <w:tcW w:w="1656" w:type="dxa"/>
            <w:vAlign w:val="center"/>
          </w:tcPr>
          <w:p w14:paraId="54A0476C">
            <w:pPr>
              <w:spacing w:line="280" w:lineRule="exact"/>
            </w:pPr>
            <w:r>
              <w:rPr>
                <w:rFonts w:ascii="Arial Unicode MS" w:hAnsi="Arial Unicode MS" w:eastAsia="Arial Unicode MS"/>
                <w:color w:val="000000"/>
                <w:sz w:val="20"/>
              </w:rPr>
              <w:t>刘珍</w:t>
            </w:r>
            <w:r>
              <w:rPr>
                <w:rFonts w:ascii="Arial Unicode MS" w:hAnsi="Arial Unicode MS" w:eastAsia="Arial Unicode MS"/>
                <w:color w:val="000000"/>
                <w:sz w:val="20"/>
              </w:rPr>
              <w:br w:type="textWrapping"/>
            </w:r>
            <w:r>
              <w:rPr>
                <w:rFonts w:ascii="Arial Unicode MS" w:hAnsi="Arial Unicode MS" w:eastAsia="Arial Unicode MS"/>
                <w:color w:val="000000"/>
                <w:sz w:val="20"/>
              </w:rPr>
              <w:t>AR5622</w:t>
            </w:r>
          </w:p>
        </w:tc>
        <w:tc>
          <w:tcPr>
            <w:tcW w:w="2837" w:type="dxa"/>
            <w:vAlign w:val="center"/>
          </w:tcPr>
          <w:p w14:paraId="35F8020C">
            <w:pPr>
              <w:spacing w:line="280" w:lineRule="exact"/>
            </w:pPr>
            <w:r>
              <w:fldChar w:fldCharType="begin"/>
            </w:r>
            <w:r>
              <w:instrText xml:space="preserve"> HYPERLINK "https://fcnpndc2ochr.feishu.cn/docx/AQIhdBw2Zo7bemx88PicyFaFnGh" \h </w:instrText>
            </w:r>
            <w:r>
              <w:fldChar w:fldCharType="separate"/>
            </w:r>
            <w:r>
              <w:rPr>
                <w:rFonts w:ascii="Arial Unicode MS" w:hAnsi="Arial Unicode MS" w:eastAsia="Arial Unicode MS"/>
                <w:color w:val="0563C1"/>
                <w:sz w:val="20"/>
              </w:rPr>
              <w:t>查看原始纪要</w:t>
            </w:r>
            <w:r>
              <w:rPr>
                <w:rFonts w:ascii="Arial Unicode MS" w:hAnsi="Arial Unicode MS" w:eastAsia="Arial Unicode MS"/>
                <w:color w:val="0563C1"/>
                <w:sz w:val="20"/>
              </w:rPr>
              <w:fldChar w:fldCharType="end"/>
            </w:r>
          </w:p>
        </w:tc>
      </w:tr>
      <w:tr w14:paraId="21FAF204">
        <w:trPr>
          <w:cantSplit/>
          <w:jc w:val="center"/>
        </w:trPr>
        <w:tc>
          <w:tcPr>
            <w:tcW w:w="1699" w:type="dxa"/>
            <w:vAlign w:val="center"/>
          </w:tcPr>
          <w:p w14:paraId="530A2FA9">
            <w:pPr>
              <w:spacing w:before="30" w:after="30" w:line="290" w:lineRule="exact"/>
            </w:pPr>
            <w:r>
              <w:rPr>
                <w:rFonts w:ascii="Arial Unicode MS" w:hAnsi="Arial Unicode MS" w:eastAsia="Arial Unicode MS"/>
                <w:color w:val="000000"/>
                <w:sz w:val="20"/>
              </w:rPr>
              <w:t>现场走访</w:t>
            </w:r>
          </w:p>
        </w:tc>
        <w:tc>
          <w:tcPr>
            <w:tcW w:w="2520" w:type="dxa"/>
            <w:vAlign w:val="center"/>
          </w:tcPr>
          <w:p w14:paraId="47356CA1">
            <w:pPr>
              <w:spacing w:before="30" w:after="30" w:line="290" w:lineRule="exact"/>
            </w:pPr>
          </w:p>
        </w:tc>
        <w:tc>
          <w:tcPr>
            <w:tcW w:w="1368" w:type="dxa"/>
            <w:vAlign w:val="center"/>
          </w:tcPr>
          <w:p w14:paraId="59F4F13C">
            <w:pPr>
              <w:spacing w:before="30" w:after="30" w:line="290" w:lineRule="exact"/>
            </w:pPr>
            <w:r>
              <w:rPr>
                <w:rFonts w:ascii="Arial Unicode MS" w:hAnsi="Arial Unicode MS" w:eastAsia="Arial Unicode MS"/>
                <w:b w:val="0"/>
                <w:color w:val="000000"/>
                <w:sz w:val="20"/>
              </w:rPr>
              <w:t>现场走访</w:t>
            </w:r>
          </w:p>
        </w:tc>
        <w:tc>
          <w:tcPr>
            <w:tcW w:w="1656" w:type="dxa"/>
            <w:vAlign w:val="center"/>
          </w:tcPr>
          <w:p w14:paraId="77F00725">
            <w:pPr>
              <w:spacing w:before="30" w:after="30" w:line="290" w:lineRule="exact"/>
            </w:pPr>
          </w:p>
        </w:tc>
        <w:tc>
          <w:tcPr>
            <w:tcW w:w="2837" w:type="dxa"/>
            <w:vAlign w:val="center"/>
          </w:tcPr>
          <w:p w14:paraId="3089DFAF">
            <w:pPr>
              <w:spacing w:before="30" w:after="30" w:line="290" w:lineRule="exact"/>
            </w:pPr>
          </w:p>
        </w:tc>
      </w:tr>
    </w:tbl>
    <w:p w14:paraId="6E456C13">
      <w:pPr>
        <w:spacing w:before="20" w:after="20" w:line="120" w:lineRule="auto"/>
      </w:pPr>
    </w:p>
    <w:p w14:paraId="6E3A568A">
      <w:r>
        <w:rPr>
          <w:rFonts w:ascii="Arial Unicode MS" w:hAnsi="Arial Unicode MS" w:eastAsia="Arial Unicode MS"/>
          <w:color w:val="000000"/>
        </w:rPr>
        <w:t>会议时段为已保存录音的起止时间。调研采用业务访谈、现有记录核查和典型场景分析，按业务对象、流程状态、数据及系统边界形成结论。</w:t>
      </w:r>
    </w:p>
    <w:p w14:paraId="1C0FF944">
      <w:pPr>
        <w:pStyle w:val="3"/>
        <w:pageBreakBefore/>
      </w:pPr>
      <w:bookmarkStart w:id="1" w:name="ch2"/>
      <w:r>
        <w:rPr>
          <w:rFonts w:ascii="Arial Unicode MS" w:hAnsi="Arial Unicode MS" w:eastAsia="Arial Unicode MS"/>
          <w:b/>
          <w:color w:val="000000"/>
        </w:rPr>
        <w:t>第二章 调研总结</w:t>
      </w:r>
      <w:bookmarkEnd w:id="1"/>
    </w:p>
    <w:p w14:paraId="163A8F5D">
      <w:pPr>
        <w:pStyle w:val="4"/>
        <w:pageBreakBefore w:val="0"/>
      </w:pPr>
      <w:r>
        <w:rPr>
          <w:rFonts w:ascii="Arial Unicode MS" w:hAnsi="Arial Unicode MS" w:eastAsia="Arial Unicode MS"/>
          <w:b/>
          <w:color w:val="000000"/>
        </w:rPr>
        <w:t>总体判断</w:t>
      </w:r>
    </w:p>
    <w:p w14:paraId="14CF5E84">
      <w:r>
        <w:rPr>
          <w:rFonts w:ascii="Arial Unicode MS" w:hAnsi="Arial Unicode MS" w:eastAsia="Arial Unicode MS"/>
          <w:color w:val="000000"/>
        </w:rPr>
        <w:t>当前我司生产以关节装配、测试及包装为主，整体流程较为简单，现阶段产能规模相对有限。依靠熟练人员的灵活调配、现场判断和线下记录，基本能够支撑日常生产与异常处理，但对个人经验和人工协调依赖较高。</w:t>
      </w:r>
    </w:p>
    <w:p w14:paraId="0916AFED">
      <w:r>
        <w:rPr>
          <w:rFonts w:ascii="Arial Unicode MS" w:hAnsi="Arial Unicode MS" w:eastAsia="Arial Unicode MS"/>
          <w:color w:val="000000"/>
        </w:rPr>
        <w:t>制造数智化水平诊断表V2.2最终得分为29.8分（百分制），对应本次模型“先补制造基础”的判断。总体仍处于数智化建设初级阶段，以局部规范和数字记录为主，尚未形成贯通制造运营的受控协同。</w:t>
      </w:r>
    </w:p>
    <w:p w14:paraId="71F195CC">
      <w:r>
        <w:rPr>
          <w:rFonts w:ascii="Arial Unicode MS" w:hAnsi="Arial Unicode MS" w:eastAsia="Arial Unicode MS"/>
          <w:color w:val="000000"/>
        </w:rPr>
        <w:t>企业已具备ERP、PLM、旧MES、协同平台和局部自动化基础，但制造业务尚未形成稳定的数据与执行闭环。较多历史沿用的默认规则未经统一梳理，分散在操作习惯、线下表格及局部程序中，适用边界、维护责任与变更要求不清晰，工程交付、生产执行、实物交接和质量处置仍有衔接断点。</w:t>
      </w:r>
    </w:p>
    <w:p w14:paraId="070A6DD4">
      <w:r>
        <w:rPr>
          <w:rFonts w:ascii="Arial Unicode MS" w:hAnsi="Arial Unicode MS" w:eastAsia="Arial Unicode MS"/>
          <w:color w:val="000000"/>
        </w:rPr>
        <w:t>应在现有运行方式仍能承接业务的阶段，为长期发展打好基础。随着规模扩大、多工厂布局和产品工艺变化，人员经验与线下协调难以持续保障信息一致和过程受控，需要将有效经验转化为明确规则、责任及可复用的制造记录。</w:t>
      </w:r>
    </w:p>
    <w:p w14:paraId="6AC1363E">
      <w:pPr>
        <w:rPr/>
      </w:pPr>
      <w:r>
        <w:rPr>
          <w:rFonts w:ascii="Arial Unicode MS" w:hAnsi="Arial Unicode MS" w:eastAsia="Arial Unicode MS"/>
          <w:color w:val="000000"/>
        </w:rPr>
        <w:t>近期首要任务是数据采集与追溯，优先关联工单、产品SN、实际用料、检验测试、维修换件及关键流转记录，建立可信制造履历，支持按产品查询过程、按异常物料定位影响范围。采集从现有产测数据接入和规范人工记录起步，同步明确流程责任、主数据及统计口径，补齐集成和运行保障；在可信数据基础上，再深化业务协同、精细排程与分析应用。</w:t>
      </w:r>
    </w:p>
    <w:p w14:paraId="3C6495C1">
      <w:pPr>
        <w:pStyle w:val="4"/>
        <w:pageBreakBefore w:val="0"/>
      </w:pPr>
      <w:r>
        <w:rPr>
          <w:rFonts w:ascii="Arial Unicode MS" w:hAnsi="Arial Unicode MS" w:eastAsia="Arial Unicode MS"/>
          <w:b/>
          <w:color w:val="000000"/>
        </w:rPr>
        <w:t>关键痛点分析</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736"/>
        <w:gridCol w:w="5832"/>
        <w:gridCol w:w="1512"/>
      </w:tblGrid>
      <w:tr w14:paraId="50A576EC">
        <w:trPr>
          <w:cantSplit/>
          <w:tblHeader/>
          <w:jc w:val="center"/>
        </w:trPr>
        <w:tc>
          <w:tcPr>
            <w:tcW w:w="2736" w:type="dxa"/>
            <w:shd w:val="clear" w:color="auto" w:fill="234A68"/>
            <w:vAlign w:val="center"/>
          </w:tcPr>
          <w:p w14:paraId="4A3A7D57">
            <w:pPr>
              <w:keepNext/>
              <w:spacing w:before="40" w:after="40" w:line="280" w:lineRule="exact"/>
              <w:jc w:val="center"/>
            </w:pPr>
            <w:r>
              <w:rPr>
                <w:rFonts w:ascii="Arial Unicode MS" w:hAnsi="Arial Unicode MS" w:eastAsia="Arial Unicode MS"/>
                <w:b/>
                <w:color w:val="FFFFFF"/>
                <w:sz w:val="20"/>
              </w:rPr>
              <w:t>关键痛点</w:t>
            </w:r>
          </w:p>
        </w:tc>
        <w:tc>
          <w:tcPr>
            <w:tcW w:w="5832" w:type="dxa"/>
            <w:shd w:val="clear" w:color="auto" w:fill="234A68"/>
            <w:vAlign w:val="center"/>
          </w:tcPr>
          <w:p w14:paraId="2CA3C10C">
            <w:pPr>
              <w:keepNext/>
              <w:spacing w:before="40" w:after="40" w:line="280" w:lineRule="exact"/>
              <w:jc w:val="center"/>
            </w:pPr>
            <w:r>
              <w:rPr>
                <w:rFonts w:ascii="Arial Unicode MS" w:hAnsi="Arial Unicode MS" w:eastAsia="Arial Unicode MS"/>
                <w:b/>
                <w:color w:val="FFFFFF"/>
                <w:sz w:val="20"/>
              </w:rPr>
              <w:t>根本制约及改善方向</w:t>
            </w:r>
          </w:p>
        </w:tc>
        <w:tc>
          <w:tcPr>
            <w:tcW w:w="1512" w:type="dxa"/>
            <w:shd w:val="clear" w:color="auto" w:fill="234A68"/>
            <w:vAlign w:val="center"/>
          </w:tcPr>
          <w:p w14:paraId="7F3C7670">
            <w:pPr>
              <w:keepNext/>
              <w:spacing w:before="40" w:after="40" w:line="280" w:lineRule="exact"/>
              <w:jc w:val="center"/>
            </w:pPr>
            <w:r>
              <w:rPr>
                <w:rFonts w:ascii="Arial Unicode MS" w:hAnsi="Arial Unicode MS" w:eastAsia="Arial Unicode MS"/>
                <w:b/>
                <w:color w:val="FFFFFF"/>
                <w:sz w:val="20"/>
              </w:rPr>
              <w:t>优先级</w:t>
            </w:r>
          </w:p>
        </w:tc>
      </w:tr>
      <w:tr w14:paraId="1B1A9CDB">
        <w:trPr>
          <w:cantSplit/>
          <w:jc w:val="center"/>
        </w:trPr>
        <w:tc>
          <w:tcPr>
            <w:tcW w:w="2736" w:type="dxa"/>
            <w:vAlign w:val="center"/>
          </w:tcPr>
          <w:p w14:paraId="5548D0C3">
            <w:pPr>
              <w:spacing w:before="40" w:after="40" w:line="280" w:lineRule="exact"/>
            </w:pPr>
            <w:r>
              <w:rPr>
                <w:rFonts w:ascii="Arial Unicode MS" w:hAnsi="Arial Unicode MS" w:eastAsia="Arial Unicode MS"/>
                <w:b w:val="0"/>
                <w:color w:val="000000"/>
                <w:sz w:val="20"/>
              </w:rPr>
              <w:t>P01 计划难以提前准备并指导现场</w:t>
            </w:r>
          </w:p>
        </w:tc>
        <w:tc>
          <w:tcPr>
            <w:tcW w:w="5832" w:type="dxa"/>
            <w:vAlign w:val="center"/>
          </w:tcPr>
          <w:p w14:paraId="20E5C01D">
            <w:pPr>
              <w:spacing w:before="40" w:after="40" w:line="280" w:lineRule="exact"/>
            </w:pPr>
            <w:r>
              <w:rPr>
                <w:rFonts w:ascii="Arial Unicode MS" w:hAnsi="Arial Unicode MS" w:eastAsia="Arial Unicode MS"/>
                <w:b w:val="0"/>
                <w:color w:val="000000"/>
                <w:sz w:val="20"/>
              </w:rPr>
              <w:t>已有局部工时与工作量参考，物料可用、实时在制和能力口径尚未统一。先形成可信输入与反馈，再深化排程。</w:t>
            </w:r>
          </w:p>
        </w:tc>
        <w:tc>
          <w:tcPr>
            <w:tcW w:w="1512" w:type="dxa"/>
            <w:vAlign w:val="center"/>
          </w:tcPr>
          <w:p w14:paraId="7116ACB8">
            <w:pPr>
              <w:spacing w:before="40" w:after="40" w:line="280" w:lineRule="exact"/>
              <w:jc w:val="center"/>
            </w:pPr>
            <w:r>
              <w:rPr>
                <w:rFonts w:ascii="Arial Unicode MS" w:hAnsi="Arial Unicode MS" w:eastAsia="Arial Unicode MS"/>
                <w:b w:val="0"/>
                <w:color w:val="000000"/>
                <w:sz w:val="20"/>
              </w:rPr>
              <w:t>P0</w:t>
            </w:r>
          </w:p>
        </w:tc>
      </w:tr>
      <w:tr w14:paraId="46C06680">
        <w:trPr>
          <w:cantSplit/>
          <w:jc w:val="center"/>
        </w:trPr>
        <w:tc>
          <w:tcPr>
            <w:tcW w:w="2736" w:type="dxa"/>
            <w:shd w:val="clear" w:color="auto" w:fill="F1F5F8"/>
            <w:vAlign w:val="center"/>
          </w:tcPr>
          <w:p w14:paraId="294F3001">
            <w:pPr>
              <w:spacing w:before="40" w:after="40" w:line="280" w:lineRule="exact"/>
            </w:pPr>
            <w:r>
              <w:rPr>
                <w:rFonts w:ascii="Arial Unicode MS" w:hAnsi="Arial Unicode MS" w:eastAsia="Arial Unicode MS"/>
                <w:b w:val="0"/>
                <w:color w:val="000000"/>
                <w:sz w:val="20"/>
              </w:rPr>
              <w:t>P02 工程交付与变更不能稳定指导生产</w:t>
            </w:r>
          </w:p>
        </w:tc>
        <w:tc>
          <w:tcPr>
            <w:tcW w:w="5832" w:type="dxa"/>
            <w:shd w:val="clear" w:color="auto" w:fill="F1F5F8"/>
            <w:vAlign w:val="center"/>
          </w:tcPr>
          <w:p w14:paraId="3F8A761C">
            <w:pPr>
              <w:spacing w:before="40" w:after="40" w:line="280" w:lineRule="exact"/>
            </w:pPr>
            <w:r>
              <w:rPr>
                <w:rFonts w:ascii="Arial Unicode MS" w:hAnsi="Arial Unicode MS" w:eastAsia="Arial Unicode MS"/>
                <w:b w:val="0"/>
                <w:color w:val="000000"/>
                <w:sz w:val="20"/>
              </w:rPr>
              <w:t>制造数据与转产责任未受控交接。建立工程包、就绪条件、SOP对象关联及分级版本管理。</w:t>
            </w:r>
          </w:p>
        </w:tc>
        <w:tc>
          <w:tcPr>
            <w:tcW w:w="1512" w:type="dxa"/>
            <w:shd w:val="clear" w:color="auto" w:fill="F1F5F8"/>
            <w:vAlign w:val="center"/>
          </w:tcPr>
          <w:p w14:paraId="2CE2D086">
            <w:pPr>
              <w:spacing w:before="40" w:after="40" w:line="280" w:lineRule="exact"/>
              <w:jc w:val="center"/>
            </w:pPr>
            <w:r>
              <w:rPr>
                <w:rFonts w:ascii="Arial Unicode MS" w:hAnsi="Arial Unicode MS" w:eastAsia="Arial Unicode MS"/>
                <w:b w:val="0"/>
                <w:color w:val="000000"/>
                <w:sz w:val="20"/>
              </w:rPr>
              <w:t>P0</w:t>
            </w:r>
          </w:p>
        </w:tc>
      </w:tr>
      <w:tr w14:paraId="3C8ED049">
        <w:trPr>
          <w:cantSplit/>
          <w:jc w:val="center"/>
        </w:trPr>
        <w:tc>
          <w:tcPr>
            <w:tcW w:w="2736" w:type="dxa"/>
            <w:vAlign w:val="center"/>
          </w:tcPr>
          <w:p w14:paraId="389FB87A">
            <w:pPr>
              <w:spacing w:before="40" w:after="40" w:line="280" w:lineRule="exact"/>
            </w:pPr>
            <w:r>
              <w:rPr>
                <w:rFonts w:ascii="Arial Unicode MS" w:hAnsi="Arial Unicode MS" w:eastAsia="Arial Unicode MS"/>
                <w:b w:val="0"/>
                <w:color w:val="000000"/>
                <w:sz w:val="20"/>
              </w:rPr>
              <w:t>P03 库存账务与真实交接错位</w:t>
            </w:r>
          </w:p>
        </w:tc>
        <w:tc>
          <w:tcPr>
            <w:tcW w:w="5832" w:type="dxa"/>
            <w:vAlign w:val="center"/>
          </w:tcPr>
          <w:p w14:paraId="5837E120">
            <w:pPr>
              <w:spacing w:before="40" w:after="40" w:line="280" w:lineRule="exact"/>
            </w:pPr>
            <w:r>
              <w:rPr>
                <w:rFonts w:ascii="Arial Unicode MS" w:hAnsi="Arial Unicode MS" w:eastAsia="Arial Unicode MS"/>
                <w:b w:val="0"/>
                <w:color w:val="000000"/>
                <w:sz w:val="20"/>
              </w:rPr>
              <w:t>特殊事务和实物交接未共同定义。ERP账务治理、真实事件记录、旧料处置和轻量位置管理同步。</w:t>
            </w:r>
          </w:p>
        </w:tc>
        <w:tc>
          <w:tcPr>
            <w:tcW w:w="1512" w:type="dxa"/>
            <w:vAlign w:val="center"/>
          </w:tcPr>
          <w:p w14:paraId="14272095">
            <w:pPr>
              <w:spacing w:before="40" w:after="40" w:line="280" w:lineRule="exact"/>
              <w:jc w:val="center"/>
            </w:pPr>
            <w:r>
              <w:rPr>
                <w:rFonts w:ascii="Arial Unicode MS" w:hAnsi="Arial Unicode MS" w:eastAsia="Arial Unicode MS"/>
                <w:b w:val="0"/>
                <w:color w:val="000000"/>
                <w:sz w:val="20"/>
              </w:rPr>
              <w:t>P0关键事务  P1仓储深化</w:t>
            </w:r>
          </w:p>
        </w:tc>
      </w:tr>
      <w:tr w14:paraId="1CF69E44">
        <w:trPr>
          <w:cantSplit/>
          <w:jc w:val="center"/>
        </w:trPr>
        <w:tc>
          <w:tcPr>
            <w:tcW w:w="2736" w:type="dxa"/>
            <w:shd w:val="clear" w:color="auto" w:fill="F1F5F8"/>
            <w:vAlign w:val="center"/>
          </w:tcPr>
          <w:p w14:paraId="0BFA4271">
            <w:pPr>
              <w:spacing w:before="40" w:after="40" w:line="280" w:lineRule="exact"/>
            </w:pPr>
            <w:r>
              <w:rPr>
                <w:rFonts w:ascii="Arial Unicode MS" w:hAnsi="Arial Unicode MS" w:eastAsia="Arial Unicode MS"/>
                <w:b w:val="0"/>
                <w:color w:val="000000"/>
                <w:sz w:val="20"/>
              </w:rPr>
              <w:t>P04 质量数据难用于追溯和交付</w:t>
            </w:r>
          </w:p>
        </w:tc>
        <w:tc>
          <w:tcPr>
            <w:tcW w:w="5832" w:type="dxa"/>
            <w:shd w:val="clear" w:color="auto" w:fill="F1F5F8"/>
            <w:vAlign w:val="center"/>
          </w:tcPr>
          <w:p w14:paraId="563376F1">
            <w:pPr>
              <w:spacing w:before="40" w:after="40" w:line="280" w:lineRule="exact"/>
            </w:pPr>
            <w:r>
              <w:rPr>
                <w:rFonts w:ascii="Arial Unicode MS" w:hAnsi="Arial Unicode MS" w:eastAsia="Arial Unicode MS"/>
                <w:b w:val="0"/>
                <w:color w:val="000000"/>
                <w:sz w:val="20"/>
              </w:rPr>
              <w:t>原始检验、日报、批次/产品身份与报告分散。一次记录支持统计与追溯，连续连接换件、复测及报告取数。</w:t>
            </w:r>
          </w:p>
        </w:tc>
        <w:tc>
          <w:tcPr>
            <w:tcW w:w="1512" w:type="dxa"/>
            <w:shd w:val="clear" w:color="auto" w:fill="F1F5F8"/>
            <w:vAlign w:val="center"/>
          </w:tcPr>
          <w:p w14:paraId="19F97447">
            <w:pPr>
              <w:spacing w:before="40" w:after="40" w:line="280" w:lineRule="exact"/>
              <w:jc w:val="center"/>
            </w:pPr>
            <w:r>
              <w:rPr>
                <w:rFonts w:ascii="Arial Unicode MS" w:hAnsi="Arial Unicode MS" w:eastAsia="Arial Unicode MS"/>
                <w:b w:val="0"/>
                <w:color w:val="000000"/>
                <w:sz w:val="20"/>
              </w:rPr>
              <w:t>P0</w:t>
            </w:r>
          </w:p>
        </w:tc>
      </w:tr>
      <w:tr w14:paraId="088828CC">
        <w:trPr>
          <w:cantSplit/>
          <w:jc w:val="center"/>
        </w:trPr>
        <w:tc>
          <w:tcPr>
            <w:tcW w:w="2736" w:type="dxa"/>
            <w:vAlign w:val="center"/>
          </w:tcPr>
          <w:p w14:paraId="532F6706">
            <w:pPr>
              <w:spacing w:before="40" w:after="40" w:line="280" w:lineRule="exact"/>
            </w:pPr>
            <w:r>
              <w:rPr>
                <w:rFonts w:ascii="Arial Unicode MS" w:hAnsi="Arial Unicode MS" w:eastAsia="Arial Unicode MS"/>
                <w:b w:val="0"/>
                <w:color w:val="000000"/>
                <w:sz w:val="20"/>
              </w:rPr>
              <w:t>P05 现场异常入口与受影响对象控制未贯通</w:t>
            </w:r>
          </w:p>
        </w:tc>
        <w:tc>
          <w:tcPr>
            <w:tcW w:w="5832" w:type="dxa"/>
            <w:vAlign w:val="center"/>
          </w:tcPr>
          <w:p w14:paraId="52223867">
            <w:pPr>
              <w:spacing w:before="40" w:after="40" w:line="280" w:lineRule="exact"/>
            </w:pPr>
            <w:r>
              <w:rPr>
                <w:rFonts w:ascii="Arial Unicode MS" w:hAnsi="Arial Unicode MS" w:eastAsia="Arial Unicode MS"/>
                <w:b w:val="0"/>
                <w:color w:val="000000"/>
                <w:sz w:val="20"/>
              </w:rPr>
              <w:t>过程问题分散反馈，审批与执行状态未连续衔接。轻量记录后按风险承接，核对隔离、处置及授权恢复。</w:t>
            </w:r>
          </w:p>
        </w:tc>
        <w:tc>
          <w:tcPr>
            <w:tcW w:w="1512" w:type="dxa"/>
            <w:vAlign w:val="center"/>
          </w:tcPr>
          <w:p w14:paraId="028176EC">
            <w:pPr>
              <w:spacing w:before="40" w:after="40" w:line="280" w:lineRule="exact"/>
              <w:jc w:val="center"/>
            </w:pPr>
            <w:r>
              <w:rPr>
                <w:rFonts w:ascii="Arial Unicode MS" w:hAnsi="Arial Unicode MS" w:eastAsia="Arial Unicode MS"/>
                <w:b w:val="0"/>
                <w:color w:val="000000"/>
                <w:sz w:val="20"/>
              </w:rPr>
              <w:t>P0</w:t>
            </w:r>
          </w:p>
        </w:tc>
      </w:tr>
      <w:tr w14:paraId="248BD4CC">
        <w:trPr>
          <w:cantSplit/>
          <w:jc w:val="center"/>
        </w:trPr>
        <w:tc>
          <w:tcPr>
            <w:tcW w:w="2736" w:type="dxa"/>
            <w:shd w:val="clear" w:color="auto" w:fill="F1F5F8"/>
            <w:vAlign w:val="center"/>
          </w:tcPr>
          <w:p w14:paraId="3C9C5361">
            <w:pPr>
              <w:spacing w:before="40" w:after="40" w:line="280" w:lineRule="exact"/>
            </w:pPr>
            <w:r>
              <w:rPr>
                <w:rFonts w:ascii="Arial Unicode MS" w:hAnsi="Arial Unicode MS" w:eastAsia="Arial Unicode MS"/>
                <w:b w:val="0"/>
                <w:color w:val="000000"/>
                <w:sz w:val="20"/>
              </w:rPr>
              <w:t>P06 旧MES应用适配与持续维护能力不足</w:t>
            </w:r>
          </w:p>
        </w:tc>
        <w:tc>
          <w:tcPr>
            <w:tcW w:w="5832" w:type="dxa"/>
            <w:shd w:val="clear" w:color="auto" w:fill="F1F5F8"/>
            <w:vAlign w:val="center"/>
          </w:tcPr>
          <w:p w14:paraId="345322EA">
            <w:pPr>
              <w:spacing w:before="40" w:after="40" w:line="280" w:lineRule="exact"/>
            </w:pPr>
            <w:r>
              <w:rPr>
                <w:rFonts w:ascii="Arial Unicode MS" w:hAnsi="Arial Unicode MS" w:eastAsia="Arial Unicode MS"/>
                <w:b w:val="0"/>
                <w:color w:val="000000"/>
                <w:sz w:val="20"/>
              </w:rPr>
              <w:t>业务适配与维护承接相互影响。真实场景验证、生命周期接口和配置知识交接共同落实。</w:t>
            </w:r>
          </w:p>
        </w:tc>
        <w:tc>
          <w:tcPr>
            <w:tcW w:w="1512" w:type="dxa"/>
            <w:shd w:val="clear" w:color="auto" w:fill="F1F5F8"/>
            <w:vAlign w:val="center"/>
          </w:tcPr>
          <w:p w14:paraId="22CF3C06">
            <w:pPr>
              <w:spacing w:before="40" w:after="40" w:line="280" w:lineRule="exact"/>
              <w:jc w:val="center"/>
            </w:pPr>
            <w:r>
              <w:rPr>
                <w:rFonts w:ascii="Arial Unicode MS" w:hAnsi="Arial Unicode MS" w:eastAsia="Arial Unicode MS"/>
                <w:b w:val="0"/>
                <w:color w:val="000000"/>
                <w:sz w:val="20"/>
              </w:rPr>
              <w:t>P0</w:t>
            </w:r>
          </w:p>
        </w:tc>
      </w:tr>
    </w:tbl>
    <w:p w14:paraId="6B5817A0">
      <w:pPr>
        <w:spacing w:before="20" w:after="20" w:line="120" w:lineRule="auto"/>
      </w:pPr>
    </w:p>
    <w:p w14:paraId="70D2EF97">
      <w:pPr>
        <w:pStyle w:val="4"/>
        <w:pageBreakBefore w:val="0"/>
      </w:pPr>
      <w:r>
        <w:rPr>
          <w:rFonts w:ascii="Arial Unicode MS" w:hAnsi="Arial Unicode MS" w:eastAsia="Arial Unicode MS"/>
          <w:b/>
          <w:color w:val="000000"/>
        </w:rPr>
        <w:t>建设规划概述</w:t>
      </w:r>
    </w:p>
    <w:p w14:paraId="461F77CE">
      <w:pPr>
        <w:rPr>
          <w:rFonts w:ascii="Arial Unicode MS" w:hAnsi="Arial Unicode MS" w:eastAsia="Arial Unicode MS"/>
          <w:color w:val="000000"/>
        </w:rPr>
      </w:pPr>
      <w:r>
        <w:rPr>
          <w:rFonts w:ascii="Arial Unicode MS" w:hAnsi="Arial Unicode MS" w:eastAsia="Arial Unicode MS"/>
          <w:color w:val="000000"/>
        </w:rPr>
        <w:t>目标架构以既有ERP、PLM及协同应用为经营与工程基础，以新MES连接生产准备、资源、执行、厂内物料、质量记录与追溯，以产测软件和现场工具保留控制职责。CRM、SRM及专业制造应用作为企业全景参考预留，统一数据、集成服务、权限安全与持续运行保障贯穿各层。</w:t>
      </w:r>
    </w:p>
    <w:p w14:paraId="5DD670D3">
      <w:pPr>
        <w:keepNext/>
        <w:spacing w:after="60" w:line="240" w:lineRule="auto"/>
        <w:jc w:val="center"/>
      </w:pPr>
      <w:r>
        <w:drawing>
          <wp:inline distT="0" distB="0" distL="114300" distR="114300">
            <wp:extent cx="6355080" cy="5427980"/>
            <wp:effectExtent l="0" t="0" r="20320" b="7620"/>
            <wp:docPr id="13" name="Picture 13" descr="企业制造信息架构 三层活动 四种建设状态 数据集成与安全运维贯穿各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企业制造信息架构 三层活动 四种建设状态 数据集成与安全运维贯穿各层"/>
                    <pic:cNvPicPr>
                      <a:picLocks noChangeAspect="1"/>
                    </pic:cNvPicPr>
                  </pic:nvPicPr>
                  <pic:blipFill>
                    <a:blip r:embed="rId8"/>
                    <a:stretch>
                      <a:fillRect/>
                    </a:stretch>
                  </pic:blipFill>
                  <pic:spPr>
                    <a:xfrm>
                      <a:off x="0" y="0"/>
                      <a:ext cx="6355080" cy="5428298"/>
                    </a:xfrm>
                    <a:prstGeom prst="rect">
                      <a:avLst/>
                    </a:prstGeom>
                  </pic:spPr>
                </pic:pic>
              </a:graphicData>
            </a:graphic>
          </wp:inline>
        </w:drawing>
      </w:r>
    </w:p>
    <w:p w14:paraId="68782A75">
      <w:pPr>
        <w:spacing w:after="180"/>
        <w:jc w:val="center"/>
      </w:pPr>
      <w:r>
        <w:rPr>
          <w:rFonts w:ascii="Arial Unicode MS" w:hAnsi="Arial Unicode MS" w:eastAsia="Arial Unicode MS"/>
          <w:color w:val="000000"/>
        </w:rPr>
        <w:t>图1 企业制造信息架构概要</w:t>
      </w:r>
    </w:p>
    <w:p w14:paraId="0F3E500E">
      <w:r>
        <w:rPr>
          <w:rFonts w:ascii="Arial Unicode MS" w:hAnsi="Arial Unicode MS" w:eastAsia="Arial Unicode MS"/>
          <w:color w:val="000000"/>
        </w:rPr>
        <w:t>建设按三期推进：深圳试点为现阶段可先行开展的改善项与流程梳理优化；二期为深圳工厂试点；三期为上海新工厂。先梳理流程、业务模型、规则与责任，待上海新工厂需求明确后开展厂商及实施商选型，减少需求反复及重复建设成本。深圳试点优先解决记录与追溯的核心痛点，培养种子用户、验证交付团队能力，形成可复用模板。</w:t>
      </w:r>
    </w:p>
    <w:p w14:paraId="43D2D7FF">
      <w:pPr>
        <w:rPr>
          <w:rFonts w:ascii="Arial Unicode MS" w:hAnsi="Arial Unicode MS" w:eastAsia="Arial Unicode MS"/>
          <w:color w:val="000000"/>
        </w:rPr>
      </w:pPr>
      <w:r>
        <w:rPr>
          <w:rFonts w:ascii="Arial Unicode MS" w:hAnsi="Arial Unicode MS" w:eastAsia="Arial Unicode MS"/>
          <w:color w:val="000000"/>
        </w:rPr>
        <w:t>上海阶段面向新的生产模式、机加和SMT等新增工艺、多工厂协同及深化应用，按新工厂全产线生产要求准备和投用，不另设上海生产试点期。现阶段即可开展基础梳理和经评估的先行改善；深圳及上海实施时间结合需求、选型和建厂计划确定。制造产能按过去一年销量的两倍规划，该口径用于能力需求测算，不能直接视为现有产能或MES系统并发量。</w:t>
      </w:r>
    </w:p>
    <w:p w14:paraId="433C333A">
      <w:pPr>
        <w:pStyle w:val="3"/>
        <w:pageBreakBefore/>
      </w:pPr>
      <w:bookmarkStart w:id="2" w:name="ch3"/>
      <w:r>
        <w:rPr>
          <w:rFonts w:ascii="Arial Unicode MS" w:hAnsi="Arial Unicode MS" w:eastAsia="Arial Unicode MS"/>
          <w:b/>
          <w:color w:val="000000"/>
        </w:rPr>
        <w:t>第三章 业务及数智化现状</w:t>
      </w:r>
      <w:bookmarkEnd w:id="2"/>
    </w:p>
    <w:p w14:paraId="67B4BE70">
      <w:r>
        <w:rPr>
          <w:rFonts w:ascii="Arial Unicode MS" w:hAnsi="Arial Unicode MS" w:eastAsia="Arial Unicode MS"/>
          <w:color w:val="000000"/>
        </w:rPr>
        <w:t>本章按调研模板的十个业务专题组织。问题按主责领域唯一编号，跨领域影响在第四章归纳。</w:t>
      </w:r>
    </w:p>
    <w:p w14:paraId="7513A870">
      <w:pPr>
        <w:pStyle w:val="4"/>
        <w:pageBreakBefore w:val="0"/>
      </w:pPr>
      <w:bookmarkStart w:id="3" w:name="topic_D01"/>
      <w:r>
        <w:rPr>
          <w:rFonts w:ascii="Arial Unicode MS" w:hAnsi="Arial Unicode MS" w:eastAsia="Arial Unicode MS"/>
          <w:b/>
          <w:color w:val="000000"/>
        </w:rPr>
        <w:t>专题D01 战略与发展规划</w:t>
      </w:r>
      <w:bookmarkEnd w:id="3"/>
    </w:p>
    <w:p w14:paraId="60DC88A6">
      <w:pPr>
        <w:keepNext/>
      </w:pPr>
      <w:r>
        <w:rPr>
          <w:rFonts w:ascii="Arial Unicode MS" w:hAnsi="Arial Unicode MS" w:eastAsia="Arial Unicode MS"/>
          <w:color w:val="000000"/>
        </w:rPr>
        <w:t>业务协作责任位 AR5、AR2、AR51、AR56、AR562、AR54、AR8</w:t>
      </w:r>
    </w:p>
    <w:p w14:paraId="3650F989">
      <w:pPr>
        <w:keepNext/>
      </w:pPr>
      <w:r>
        <w:rPr>
          <w:rFonts w:ascii="Arial Unicode MS" w:hAnsi="Arial Unicode MS" w:eastAsia="Arial Unicode MS"/>
          <w:color w:val="000000"/>
        </w:rPr>
        <w:t>资料来源 S01 S06 S10 S11 S16</w:t>
      </w:r>
    </w:p>
    <w:p w14:paraId="1F0695CD">
      <w:pPr>
        <w:pStyle w:val="5"/>
        <w:pageBreakBefore w:val="0"/>
      </w:pPr>
      <w:r>
        <w:rPr>
          <w:rFonts w:ascii="Arial Unicode MS" w:hAnsi="Arial Unicode MS" w:eastAsia="Arial Unicode MS"/>
          <w:b/>
          <w:color w:val="000000"/>
        </w:rPr>
        <w:t>业务对象与运行结论</w:t>
      </w:r>
    </w:p>
    <w:p w14:paraId="40D036A6">
      <w:r>
        <w:rPr>
          <w:rFonts w:ascii="Arial Unicode MS" w:hAnsi="Arial Unicode MS" w:eastAsia="Arial Unicode MS"/>
          <w:color w:val="000000"/>
        </w:rPr>
        <w:t>现厂制造、新工厂、产品族与配置、产能及自制委外边界构成制造体系规划的主要对象。机器人关节的硬件组合、软件配置和客户包装要求共同形成产品差异，制造能力需要同时适应新品导入、配置收敛与工厂扩展。</w:t>
      </w:r>
    </w:p>
    <w:p w14:paraId="4C350FC3">
      <w:r>
        <w:rPr>
          <w:rFonts w:ascii="Arial Unicode MS" w:hAnsi="Arial Unicode MS" w:eastAsia="Arial Unicode MS"/>
          <w:color w:val="000000"/>
        </w:rPr>
        <w:t>企业制造覆盖关节装配、测试、包装，以及机加工车间可自制的机加件生产。新厂扩展、产品配置治理和制造范围变化共同影响数据、资源、物流与系统建设。上海新工厂后续建设需适应新的生产模式及机加、SMT等工艺，支持多工厂协同；具体业务规则随需求梳理明确。深圳MES试点聚焦装配测试及必要质量、交接记录和追溯，机加与SMT不纳入深圳试点。</w:t>
      </w:r>
    </w:p>
    <w:p w14:paraId="3A2EABD0">
      <w:pPr>
        <w:keepNext/>
        <w:spacing w:after="60" w:line="240" w:lineRule="auto"/>
        <w:jc w:val="center"/>
      </w:pPr>
      <w:r>
        <w:drawing>
          <wp:inline distT="0" distB="0" distL="114300" distR="114300">
            <wp:extent cx="6400800" cy="668655"/>
            <wp:effectExtent l="0" t="0" r="0" b="17145"/>
            <wp:docPr id="2" name="Picture 2" descr="图2 D01制造变化与能力扩展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图2 D01制造变化与能力扩展关系"/>
                    <pic:cNvPicPr>
                      <a:picLocks noChangeAspect="1"/>
                    </pic:cNvPicPr>
                  </pic:nvPicPr>
                  <pic:blipFill>
                    <a:blip r:embed="rId9"/>
                    <a:stretch>
                      <a:fillRect/>
                    </a:stretch>
                  </pic:blipFill>
                  <pic:spPr>
                    <a:xfrm>
                      <a:off x="0" y="0"/>
                      <a:ext cx="6400800" cy="669175"/>
                    </a:xfrm>
                    <a:prstGeom prst="rect">
                      <a:avLst/>
                    </a:prstGeom>
                  </pic:spPr>
                </pic:pic>
              </a:graphicData>
            </a:graphic>
          </wp:inline>
        </w:drawing>
      </w:r>
    </w:p>
    <w:p w14:paraId="4FFD6D7F">
      <w:pPr>
        <w:spacing w:after="180"/>
        <w:jc w:val="center"/>
      </w:pPr>
      <w:r>
        <w:rPr>
          <w:rFonts w:ascii="Arial Unicode MS" w:hAnsi="Arial Unicode MS" w:eastAsia="Arial Unicode MS"/>
          <w:color w:val="000000"/>
          <w:sz w:val="20"/>
        </w:rPr>
        <w:t>图2 D01制造变化与能力扩展关系</w:t>
      </w:r>
    </w:p>
    <w:p w14:paraId="7CB189A4">
      <w:pPr>
        <w:pStyle w:val="5"/>
        <w:pageBreakBefore w:val="0"/>
      </w:pPr>
      <w:r>
        <w:rPr>
          <w:rFonts w:ascii="Arial Unicode MS" w:hAnsi="Arial Unicode MS" w:eastAsia="Arial Unicode MS"/>
          <w:b/>
          <w:color w:val="000000"/>
        </w:rPr>
        <w:t>常规及特殊业务规则</w:t>
      </w:r>
    </w:p>
    <w:p w14:paraId="0E867190">
      <w:r>
        <w:rPr>
          <w:rFonts w:ascii="Arial Unicode MS" w:hAnsi="Arial Unicode MS" w:eastAsia="Arial Unicode MS"/>
          <w:color w:val="000000"/>
        </w:rPr>
        <w:t>除关节装配、测试和包装外，机加工车间承担可自制机加件的生产，采购和委外加工参与供应。新机型经研发验证、NPI准备和产线首产进入制造，AR562根据量产效率和防错要求优化工艺与工装。</w:t>
      </w:r>
    </w:p>
    <w:p w14:paraId="4F1F8E65">
      <w:r>
        <w:rPr>
          <w:rFonts w:ascii="Arial Unicode MS" w:hAnsi="Arial Unicode MS" w:eastAsia="Arial Unicode MS"/>
          <w:color w:val="000000"/>
        </w:rPr>
        <w:t>新厂扩展与F5/F6等版本过渡、产品配置收敛，共同影响物料适用、尾料消耗、测试配置和制造模板复用。工程数据和接口应支持按工厂维护适用差异。</w:t>
      </w:r>
    </w:p>
    <w:p w14:paraId="5D3442E4">
      <w:r>
        <w:rPr>
          <w:rFonts w:ascii="Arial Unicode MS" w:hAnsi="Arial Unicode MS" w:eastAsia="Arial Unicode MS"/>
          <w:color w:val="000000"/>
        </w:rPr>
        <w:t>产能规划采用过去一年销量两倍的口径。能力测算应按产品组合、工艺及自制委外边界展开，将需求转换为工序负荷、人员班制、设备和物流条件；MES容量则依据任务、单件、检验与采集事件量测算。销量倍数不能替代瓶颈能力验证。</w:t>
      </w:r>
    </w:p>
    <w:p w14:paraId="2AD923B0">
      <w:pPr>
        <w:pStyle w:val="5"/>
        <w:pageBreakBefore w:val="0"/>
      </w:pPr>
      <w:r>
        <w:rPr>
          <w:rFonts w:ascii="Arial Unicode MS" w:hAnsi="Arial Unicode MS" w:eastAsia="Arial Unicode MS"/>
          <w:b/>
          <w:color w:val="000000"/>
        </w:rPr>
        <w:t>系统与数字化现状</w:t>
      </w:r>
    </w:p>
    <w:p w14:paraId="41763E4D">
      <w:r>
        <w:rPr>
          <w:rFonts w:ascii="Arial Unicode MS" w:hAnsi="Arial Unicode MS" w:eastAsia="Arial Unicode MS"/>
          <w:color w:val="000000"/>
        </w:rPr>
        <w:t>企业已有ERP、PLM、MES、协同平台和测试软件。建设先推进流程梳理和适用的先行改善，上海新工厂需求明确后开展厂商及实施商选型；深圳试点验证核心记录与追溯、实施能力和可复用模板，再支撑上海新工厂全产线建设及能力深化。</w:t>
      </w:r>
    </w:p>
    <w:p w14:paraId="13F29AEB">
      <w:r>
        <w:rPr>
          <w:rFonts w:ascii="Arial Unicode MS" w:hAnsi="Arial Unicode MS" w:eastAsia="Arial Unicode MS"/>
          <w:color w:val="000000"/>
        </w:rPr>
        <w:t>系统应用安排按需求基线、厂商选型、深圳验证结果和上海建厂计划衔接确定。上海阶段不再拆分生产试点与推广期，应在全产线启用前完成新增业务及接口验证、人员准备和上线演练。</w:t>
      </w:r>
    </w:p>
    <w:p w14:paraId="1E201E01">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325"/>
        <w:gridCol w:w="4853"/>
        <w:gridCol w:w="3902"/>
      </w:tblGrid>
      <w:tr w14:paraId="11D7134F">
        <w:trPr>
          <w:cantSplit/>
          <w:tblHeader/>
          <w:jc w:val="center"/>
        </w:trPr>
        <w:tc>
          <w:tcPr>
            <w:tcW w:w="1325" w:type="dxa"/>
            <w:shd w:val="clear" w:color="auto" w:fill="234A68"/>
            <w:vAlign w:val="center"/>
          </w:tcPr>
          <w:p w14:paraId="0F785329">
            <w:pPr>
              <w:keepNext/>
              <w:spacing w:before="40" w:after="40" w:line="28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11EF060E">
            <w:pPr>
              <w:keepNext/>
              <w:spacing w:before="40" w:after="40" w:line="280" w:lineRule="exact"/>
              <w:jc w:val="center"/>
            </w:pPr>
            <w:r>
              <w:rPr>
                <w:rFonts w:ascii="Arial Unicode MS" w:hAnsi="Arial Unicode MS" w:eastAsia="Arial Unicode MS"/>
                <w:b/>
                <w:color w:val="FFFFFF"/>
                <w:sz w:val="20"/>
              </w:rPr>
              <w:t>问题</w:t>
            </w:r>
          </w:p>
        </w:tc>
        <w:tc>
          <w:tcPr>
            <w:tcW w:w="3902" w:type="dxa"/>
            <w:shd w:val="clear" w:color="auto" w:fill="234A68"/>
            <w:vAlign w:val="center"/>
          </w:tcPr>
          <w:p w14:paraId="0FE387AC">
            <w:pPr>
              <w:keepNext/>
              <w:spacing w:before="40" w:after="40" w:line="280" w:lineRule="exact"/>
              <w:jc w:val="center"/>
            </w:pPr>
            <w:r>
              <w:rPr>
                <w:rFonts w:ascii="Arial Unicode MS" w:hAnsi="Arial Unicode MS" w:eastAsia="Arial Unicode MS"/>
                <w:b/>
                <w:color w:val="FFFFFF"/>
                <w:sz w:val="20"/>
              </w:rPr>
              <w:t>业务影响</w:t>
            </w:r>
          </w:p>
        </w:tc>
      </w:tr>
      <w:tr w14:paraId="0F9057A1">
        <w:trPr>
          <w:cantSplit/>
          <w:jc w:val="center"/>
        </w:trPr>
        <w:tc>
          <w:tcPr>
            <w:tcW w:w="1325" w:type="dxa"/>
            <w:vAlign w:val="center"/>
          </w:tcPr>
          <w:p w14:paraId="74108409">
            <w:pPr>
              <w:spacing w:before="40" w:after="40" w:line="280" w:lineRule="exact"/>
              <w:jc w:val="center"/>
            </w:pPr>
            <w:r>
              <w:rPr>
                <w:rFonts w:ascii="Arial Unicode MS" w:hAnsi="Arial Unicode MS" w:eastAsia="Arial Unicode MS"/>
                <w:b w:val="0"/>
                <w:color w:val="000000"/>
                <w:sz w:val="20"/>
              </w:rPr>
              <w:t>D01-P01</w:t>
            </w:r>
          </w:p>
        </w:tc>
        <w:tc>
          <w:tcPr>
            <w:tcW w:w="4853" w:type="dxa"/>
            <w:vAlign w:val="center"/>
          </w:tcPr>
          <w:p w14:paraId="0891F369">
            <w:pPr>
              <w:spacing w:before="40" w:after="40" w:line="280" w:lineRule="exact"/>
            </w:pPr>
            <w:r>
              <w:rPr>
                <w:rFonts w:ascii="Arial Unicode MS" w:hAnsi="Arial Unicode MS" w:eastAsia="Arial Unicode MS"/>
                <w:b w:val="0"/>
                <w:color w:val="000000"/>
                <w:sz w:val="20"/>
              </w:rPr>
              <w:t>制造范围与产能规划已有方向，但产品组合、工序负荷和资源约束尚未形成统一的建设输入。</w:t>
            </w:r>
          </w:p>
        </w:tc>
        <w:tc>
          <w:tcPr>
            <w:tcW w:w="3902" w:type="dxa"/>
            <w:vAlign w:val="center"/>
          </w:tcPr>
          <w:p w14:paraId="46C27E59">
            <w:pPr>
              <w:spacing w:before="40" w:after="40" w:line="280" w:lineRule="exact"/>
            </w:pPr>
            <w:r>
              <w:rPr>
                <w:rFonts w:ascii="Arial Unicode MS" w:hAnsi="Arial Unicode MS" w:eastAsia="Arial Unicode MS"/>
                <w:b w:val="0"/>
                <w:color w:val="000000"/>
                <w:sz w:val="20"/>
              </w:rPr>
              <w:t>易将销量规划直接作为设备或系统容量依据，跨厂复制与投资测算缺少可验证的能力基线。</w:t>
            </w:r>
          </w:p>
        </w:tc>
      </w:tr>
      <w:tr w14:paraId="4A64F085">
        <w:trPr>
          <w:cantSplit/>
          <w:jc w:val="center"/>
        </w:trPr>
        <w:tc>
          <w:tcPr>
            <w:tcW w:w="1325" w:type="dxa"/>
            <w:shd w:val="clear" w:color="auto" w:fill="F1F5F8"/>
            <w:vAlign w:val="center"/>
          </w:tcPr>
          <w:p w14:paraId="49DD8833">
            <w:pPr>
              <w:spacing w:before="40" w:after="40" w:line="280" w:lineRule="exact"/>
              <w:jc w:val="center"/>
            </w:pPr>
            <w:r>
              <w:rPr>
                <w:rFonts w:ascii="Arial Unicode MS" w:hAnsi="Arial Unicode MS" w:eastAsia="Arial Unicode MS"/>
                <w:b w:val="0"/>
                <w:color w:val="000000"/>
                <w:sz w:val="20"/>
              </w:rPr>
              <w:t>D01-P02</w:t>
            </w:r>
          </w:p>
        </w:tc>
        <w:tc>
          <w:tcPr>
            <w:tcW w:w="4853" w:type="dxa"/>
            <w:shd w:val="clear" w:color="auto" w:fill="F1F5F8"/>
            <w:vAlign w:val="center"/>
          </w:tcPr>
          <w:p w14:paraId="76331F2B">
            <w:pPr>
              <w:spacing w:before="40" w:after="40" w:line="280" w:lineRule="exact"/>
            </w:pPr>
            <w:r>
              <w:rPr>
                <w:rFonts w:ascii="Arial Unicode MS" w:hAnsi="Arial Unicode MS" w:eastAsia="Arial Unicode MS"/>
                <w:b w:val="0"/>
                <w:color w:val="000000"/>
                <w:sz w:val="20"/>
              </w:rPr>
              <w:t>产品配置收敛、新旧版本切换与制造能力扩展缺少统一的运营约束。</w:t>
            </w:r>
          </w:p>
        </w:tc>
        <w:tc>
          <w:tcPr>
            <w:tcW w:w="3902" w:type="dxa"/>
            <w:shd w:val="clear" w:color="auto" w:fill="F1F5F8"/>
            <w:vAlign w:val="center"/>
          </w:tcPr>
          <w:p w14:paraId="57674607">
            <w:pPr>
              <w:spacing w:before="40" w:after="40" w:line="280" w:lineRule="exact"/>
            </w:pPr>
            <w:r>
              <w:rPr>
                <w:rFonts w:ascii="Arial Unicode MS" w:hAnsi="Arial Unicode MS" w:eastAsia="Arial Unicode MS"/>
                <w:b w:val="0"/>
                <w:color w:val="000000"/>
                <w:sz w:val="20"/>
              </w:rPr>
              <w:t>新工厂或新机型容易延续现有料号、库存与版本管理问题。</w:t>
            </w:r>
          </w:p>
        </w:tc>
      </w:tr>
    </w:tbl>
    <w:p w14:paraId="28B2E1C5">
      <w:pPr>
        <w:spacing w:before="20" w:after="20" w:line="120" w:lineRule="auto"/>
      </w:pPr>
    </w:p>
    <w:p w14:paraId="6D13A4B5">
      <w:pPr>
        <w:pStyle w:val="4"/>
        <w:pageBreakBefore w:val="0"/>
      </w:pPr>
      <w:bookmarkStart w:id="4" w:name="topic_D02"/>
      <w:r>
        <w:rPr>
          <w:rFonts w:ascii="Arial Unicode MS" w:hAnsi="Arial Unicode MS" w:eastAsia="Arial Unicode MS"/>
          <w:b/>
          <w:color w:val="000000"/>
        </w:rPr>
        <w:t>专题D02 组织 人员与管理机制</w:t>
      </w:r>
      <w:bookmarkEnd w:id="4"/>
    </w:p>
    <w:p w14:paraId="65094B6A">
      <w:pPr>
        <w:keepNext/>
      </w:pPr>
      <w:r>
        <w:rPr>
          <w:rFonts w:ascii="Arial Unicode MS" w:hAnsi="Arial Unicode MS" w:eastAsia="Arial Unicode MS"/>
          <w:color w:val="000000"/>
        </w:rPr>
        <w:t>业务协作责任位 AR56、AR51、AR2、AR562、AR53、AR6、AR3、AR8</w:t>
      </w:r>
    </w:p>
    <w:p w14:paraId="14107046">
      <w:pPr>
        <w:keepNext/>
      </w:pPr>
      <w:r>
        <w:rPr>
          <w:rFonts w:ascii="Arial Unicode MS" w:hAnsi="Arial Unicode MS" w:eastAsia="Arial Unicode MS"/>
          <w:color w:val="000000"/>
        </w:rPr>
        <w:t>资料来源 S01 S05 S05T S10T S11 S19 S19T S20 S20T</w:t>
      </w:r>
    </w:p>
    <w:p w14:paraId="47B1D916">
      <w:pPr>
        <w:pStyle w:val="5"/>
        <w:pageBreakBefore w:val="0"/>
      </w:pPr>
      <w:r>
        <w:rPr>
          <w:rFonts w:ascii="Arial Unicode MS" w:hAnsi="Arial Unicode MS" w:eastAsia="Arial Unicode MS"/>
          <w:b/>
          <w:color w:val="000000"/>
        </w:rPr>
        <w:t>业务对象与运行结论</w:t>
      </w:r>
    </w:p>
    <w:p w14:paraId="047462FA">
      <w:r>
        <w:rPr>
          <w:rFonts w:ascii="Arial Unicode MS" w:hAnsi="Arial Unicode MS" w:eastAsia="Arial Unicode MS"/>
          <w:color w:val="000000"/>
        </w:rPr>
        <w:t>管理对象包括岗位及资格、人员配置、计划分配、实际作业、未完成任务及跨部门交接责任。人员以相对固定岗位为主，取得相应考核资格后可在允许范围支援其他型号、产线或辅助工作，个别岗位存在一人支持多线。人员弹性具有岗位和技能边界，不能按全员任意互换建模。</w:t>
      </w:r>
    </w:p>
    <w:p w14:paraId="5C8948C2">
      <w:r>
        <w:rPr>
          <w:rFonts w:ascii="Arial Unicode MS" w:hAnsi="Arial Unicode MS" w:eastAsia="Arial Unicode MS"/>
          <w:color w:val="000000"/>
        </w:rPr>
        <w:t>公司已有按工序培训、考核和发放上岗证的管理基础，生产及检验文员亦能按技能和在岗情况组织工作。主要短板是资格、工作安排、临时调配和实际完成尚未形成连续记录。应以现有岗位和考核为基础关联作业权限，使计划与实际可核对，减少依赖个人记忆，并保留现场合理调配的弹性。</w:t>
      </w:r>
    </w:p>
    <w:p w14:paraId="59A79587">
      <w:pPr>
        <w:keepNext/>
        <w:spacing w:after="60" w:line="240" w:lineRule="auto"/>
        <w:jc w:val="center"/>
      </w:pPr>
      <w:r>
        <w:drawing>
          <wp:inline distT="0" distB="0" distL="114300" distR="114300">
            <wp:extent cx="6400800" cy="1410970"/>
            <wp:effectExtent l="0" t="0" r="0" b="11430"/>
            <wp:docPr id="3" name="Picture 3" descr="图3 D02业务流程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图3 D02业务流程概述"/>
                    <pic:cNvPicPr>
                      <a:picLocks noChangeAspect="1"/>
                    </pic:cNvPicPr>
                  </pic:nvPicPr>
                  <pic:blipFill>
                    <a:blip r:embed="rId10"/>
                    <a:stretch>
                      <a:fillRect/>
                    </a:stretch>
                  </pic:blipFill>
                  <pic:spPr>
                    <a:xfrm>
                      <a:off x="0" y="0"/>
                      <a:ext cx="6400800" cy="1411085"/>
                    </a:xfrm>
                    <a:prstGeom prst="rect">
                      <a:avLst/>
                    </a:prstGeom>
                  </pic:spPr>
                </pic:pic>
              </a:graphicData>
            </a:graphic>
          </wp:inline>
        </w:drawing>
      </w:r>
    </w:p>
    <w:p w14:paraId="2748B3F7">
      <w:pPr>
        <w:spacing w:after="180"/>
        <w:jc w:val="center"/>
      </w:pPr>
      <w:r>
        <w:rPr>
          <w:rFonts w:ascii="Arial Unicode MS" w:hAnsi="Arial Unicode MS" w:eastAsia="Arial Unicode MS"/>
          <w:color w:val="000000"/>
          <w:sz w:val="20"/>
        </w:rPr>
        <w:t>图3 D02业务流程概述</w:t>
      </w:r>
    </w:p>
    <w:p w14:paraId="189D652D">
      <w:pPr>
        <w:pStyle w:val="5"/>
        <w:pageBreakBefore w:val="0"/>
      </w:pPr>
      <w:r>
        <w:rPr>
          <w:rFonts w:ascii="Arial Unicode MS" w:hAnsi="Arial Unicode MS" w:eastAsia="Arial Unicode MS"/>
          <w:b/>
          <w:color w:val="000000"/>
        </w:rPr>
        <w:t>常规及特殊业务规则</w:t>
      </w:r>
    </w:p>
    <w:p w14:paraId="56697B7B">
      <w:r>
        <w:rPr>
          <w:rFonts w:ascii="Arial Unicode MS" w:hAnsi="Arial Unicode MS" w:eastAsia="Arial Unicode MS"/>
          <w:color w:val="000000"/>
        </w:rPr>
        <w:t>技能管理按工序设置考核内容，员工通过多项考核后可取得多个岗位的作业资质。关键测试岗位需完成严格培训与考核后作业，普通装配岗位的管控程度与测试岗位不同。岗位授权应体现这种差异，避免将所有工位一律设置为相同的强制门禁。</w:t>
      </w:r>
    </w:p>
    <w:p w14:paraId="690A6A50">
      <w:r>
        <w:rPr>
          <w:rFonts w:ascii="Arial Unicode MS" w:hAnsi="Arial Unicode MS" w:eastAsia="Arial Unicode MS"/>
          <w:color w:val="000000"/>
        </w:rPr>
        <w:t>现行采用长班模式，无日常白班与夜班交接。正常情况下人员相对固定，未完成工件可由原员工次日继续作业；请假时指定工作对接人，在请假记录中体现交接对象，并当面说明未完成任务。</w:t>
      </w:r>
    </w:p>
    <w:p w14:paraId="39A2E73C">
      <w:r>
        <w:rPr>
          <w:rFonts w:ascii="Arial Unicode MS" w:hAnsi="Arial Unicode MS" w:eastAsia="Arial Unicode MS"/>
          <w:color w:val="000000"/>
        </w:rPr>
        <w:t>岗位和产线配置相对稳定，人员按型号任务量、欠料、请假及临时支援调整。生产和检验均有局部工作量参考，但型号、岗位、计件或计时以及等待条件不同，不能对所有工位设定统一固定日产量，也不能将排班数量直接视为实际完成。</w:t>
      </w:r>
    </w:p>
    <w:p w14:paraId="252E0159">
      <w:r>
        <w:rPr>
          <w:rFonts w:ascii="Arial Unicode MS" w:hAnsi="Arial Unicode MS" w:eastAsia="Arial Unicode MS"/>
          <w:color w:val="000000"/>
        </w:rPr>
        <w:t>跨部门责任在部分特殊业务上衔接不足。新旧料消耗、套料单调整等事项曾依靠熟悉业务的人员主动处理，人员或职责变化后出现无人持续推动的情况，说明需要按业务链确定流程主责和交接要求。</w:t>
      </w:r>
    </w:p>
    <w:p w14:paraId="07774AF9">
      <w:pPr>
        <w:pStyle w:val="5"/>
        <w:pageBreakBefore w:val="0"/>
      </w:pPr>
      <w:r>
        <w:rPr>
          <w:rFonts w:ascii="Arial Unicode MS" w:hAnsi="Arial Unicode MS" w:eastAsia="Arial Unicode MS"/>
          <w:b/>
          <w:color w:val="000000"/>
        </w:rPr>
        <w:t>系统与数字化现状</w:t>
      </w:r>
    </w:p>
    <w:p w14:paraId="083C6568">
      <w:r>
        <w:rPr>
          <w:rFonts w:ascii="Arial Unicode MS" w:hAnsi="Arial Unicode MS" w:eastAsia="Arial Unicode MS"/>
          <w:color w:val="000000"/>
        </w:rPr>
        <w:t>人员能力和日常作业已有制度、排班与日报基础，尚未形成与MES岗位权限、工序任务相衔接的统一技能矩阵。二楼型号数量安排、三楼载具及在制安排与检验排班各有对象和约束，临时通知后的变化未持续回写表单，实际责任、支援与未完承接仍依赖人工跟踪。</w:t>
      </w:r>
    </w:p>
    <w:p w14:paraId="5F48C9C8">
      <w:r>
        <w:rPr>
          <w:rFonts w:ascii="Arial Unicode MS" w:hAnsi="Arial Unicode MS" w:eastAsia="Arial Unicode MS"/>
          <w:color w:val="000000"/>
        </w:rPr>
        <w:t>车间已在前一日组织次日安排，但更长周期任务的稳定可见性仍不足。二楼排班受备料与欠料影响，三楼约16时盘点在制后安排次日工作及加班；此类短期工作安排不等于已有稳定的一周计划。后续共享应区分预计、已下达、已分配与实际状态，支持生产、工程和仓储提前准备。</w:t>
      </w:r>
    </w:p>
    <w:p w14:paraId="649BC8B7">
      <w:r>
        <w:rPr>
          <w:rFonts w:ascii="Arial Unicode MS" w:hAnsi="Arial Unicode MS" w:eastAsia="Arial Unicode MS"/>
          <w:color w:val="000000"/>
        </w:rPr>
        <w:t>管理机制的数字化宜以减少重复填报、提高责任可追踪性为原则。工序数据可从MES作业记录形成，技能资质、请假和人员基础信息与既有管理平台衔接，避免重新建立一套独立人事管理体系。</w:t>
      </w:r>
    </w:p>
    <w:p w14:paraId="5CB96435">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325"/>
        <w:gridCol w:w="4853"/>
        <w:gridCol w:w="3902"/>
      </w:tblGrid>
      <w:tr w14:paraId="66C0ADA6">
        <w:trPr>
          <w:cantSplit/>
          <w:tblHeader/>
          <w:jc w:val="center"/>
        </w:trPr>
        <w:tc>
          <w:tcPr>
            <w:tcW w:w="1325" w:type="dxa"/>
            <w:shd w:val="clear" w:color="auto" w:fill="234A68"/>
            <w:vAlign w:val="center"/>
          </w:tcPr>
          <w:p w14:paraId="275152E0">
            <w:pPr>
              <w:keepNext/>
              <w:spacing w:before="30" w:after="30" w:line="29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5920F083">
            <w:pPr>
              <w:keepNext/>
              <w:spacing w:before="30" w:after="30" w:line="290" w:lineRule="exact"/>
            </w:pPr>
            <w:r>
              <w:rPr>
                <w:rFonts w:ascii="Arial Unicode MS" w:hAnsi="Arial Unicode MS" w:eastAsia="Arial Unicode MS"/>
                <w:b/>
                <w:color w:val="FFFFFF"/>
                <w:sz w:val="20"/>
              </w:rPr>
              <w:t>问题</w:t>
            </w:r>
          </w:p>
        </w:tc>
        <w:tc>
          <w:tcPr>
            <w:tcW w:w="3902" w:type="dxa"/>
            <w:shd w:val="clear" w:color="auto" w:fill="234A68"/>
            <w:vAlign w:val="center"/>
          </w:tcPr>
          <w:p w14:paraId="51FBEA7B">
            <w:pPr>
              <w:keepNext/>
              <w:spacing w:before="30" w:after="30" w:line="290" w:lineRule="exact"/>
            </w:pPr>
            <w:r>
              <w:rPr>
                <w:rFonts w:ascii="Arial Unicode MS" w:hAnsi="Arial Unicode MS" w:eastAsia="Arial Unicode MS"/>
                <w:b/>
                <w:color w:val="FFFFFF"/>
                <w:sz w:val="20"/>
              </w:rPr>
              <w:t>业务影响</w:t>
            </w:r>
          </w:p>
        </w:tc>
      </w:tr>
      <w:tr w14:paraId="0E120598">
        <w:trPr>
          <w:cantSplit/>
          <w:jc w:val="center"/>
        </w:trPr>
        <w:tc>
          <w:tcPr>
            <w:tcW w:w="1325" w:type="dxa"/>
            <w:vAlign w:val="center"/>
          </w:tcPr>
          <w:p w14:paraId="165728C7">
            <w:pPr>
              <w:spacing w:before="30" w:after="30" w:line="290" w:lineRule="exact"/>
              <w:jc w:val="center"/>
            </w:pPr>
            <w:r>
              <w:rPr>
                <w:rFonts w:ascii="Arial Unicode MS" w:hAnsi="Arial Unicode MS" w:eastAsia="Arial Unicode MS"/>
                <w:b w:val="0"/>
                <w:color w:val="000000"/>
                <w:sz w:val="20"/>
              </w:rPr>
              <w:t>D02-P01</w:t>
            </w:r>
          </w:p>
        </w:tc>
        <w:tc>
          <w:tcPr>
            <w:tcW w:w="4853" w:type="dxa"/>
            <w:vAlign w:val="center"/>
          </w:tcPr>
          <w:p w14:paraId="38F8B5F6">
            <w:pPr>
              <w:spacing w:before="30" w:after="30" w:line="290" w:lineRule="exact"/>
            </w:pPr>
            <w:r>
              <w:rPr>
                <w:rFonts w:ascii="Arial Unicode MS" w:hAnsi="Arial Unicode MS" w:eastAsia="Arial Unicode MS"/>
                <w:b w:val="0"/>
                <w:color w:val="000000"/>
                <w:sz w:val="20"/>
              </w:rPr>
              <w:t>岗位技能与MES作业权限尚未形成统一衔接。</w:t>
            </w:r>
          </w:p>
        </w:tc>
        <w:tc>
          <w:tcPr>
            <w:tcW w:w="3902" w:type="dxa"/>
            <w:vAlign w:val="center"/>
          </w:tcPr>
          <w:p w14:paraId="62D8CEC4">
            <w:pPr>
              <w:spacing w:before="30" w:after="30" w:line="290" w:lineRule="exact"/>
            </w:pPr>
            <w:r>
              <w:rPr>
                <w:rFonts w:ascii="Arial Unicode MS" w:hAnsi="Arial Unicode MS" w:eastAsia="Arial Unicode MS"/>
                <w:b w:val="0"/>
                <w:color w:val="000000"/>
                <w:sz w:val="20"/>
              </w:rPr>
              <w:t>关键测试岗位的资格控制和多能工调配依赖人工识别。</w:t>
            </w:r>
          </w:p>
        </w:tc>
      </w:tr>
      <w:tr w14:paraId="76057EE1">
        <w:trPr>
          <w:cantSplit/>
          <w:jc w:val="center"/>
        </w:trPr>
        <w:tc>
          <w:tcPr>
            <w:tcW w:w="1325" w:type="dxa"/>
            <w:shd w:val="clear" w:color="auto" w:fill="F1F5F8"/>
            <w:vAlign w:val="center"/>
          </w:tcPr>
          <w:p w14:paraId="71EADE27">
            <w:pPr>
              <w:spacing w:before="30" w:after="30" w:line="290" w:lineRule="exact"/>
              <w:jc w:val="center"/>
            </w:pPr>
            <w:r>
              <w:rPr>
                <w:rFonts w:ascii="Arial Unicode MS" w:hAnsi="Arial Unicode MS" w:eastAsia="Arial Unicode MS"/>
                <w:b w:val="0"/>
                <w:color w:val="000000"/>
                <w:sz w:val="20"/>
              </w:rPr>
              <w:t>D02-P02</w:t>
            </w:r>
          </w:p>
        </w:tc>
        <w:tc>
          <w:tcPr>
            <w:tcW w:w="4853" w:type="dxa"/>
            <w:shd w:val="clear" w:color="auto" w:fill="F1F5F8"/>
            <w:vAlign w:val="center"/>
          </w:tcPr>
          <w:p w14:paraId="302C3F3F">
            <w:pPr>
              <w:spacing w:before="30" w:after="30" w:line="290" w:lineRule="exact"/>
            </w:pPr>
            <w:r>
              <w:rPr>
                <w:rFonts w:ascii="Arial Unicode MS" w:hAnsi="Arial Unicode MS" w:eastAsia="Arial Unicode MS"/>
                <w:b w:val="0"/>
                <w:color w:val="000000"/>
                <w:sz w:val="20"/>
              </w:rPr>
              <w:t>人员调整和工作交接主要依靠主管及员工口头说明。</w:t>
            </w:r>
          </w:p>
        </w:tc>
        <w:tc>
          <w:tcPr>
            <w:tcW w:w="3902" w:type="dxa"/>
            <w:shd w:val="clear" w:color="auto" w:fill="F1F5F8"/>
            <w:vAlign w:val="center"/>
          </w:tcPr>
          <w:p w14:paraId="7DB36E2C">
            <w:pPr>
              <w:spacing w:before="30" w:after="30" w:line="290" w:lineRule="exact"/>
            </w:pPr>
            <w:r>
              <w:rPr>
                <w:rFonts w:ascii="Arial Unicode MS" w:hAnsi="Arial Unicode MS" w:eastAsia="Arial Unicode MS"/>
                <w:b w:val="0"/>
                <w:color w:val="000000"/>
                <w:sz w:val="20"/>
              </w:rPr>
              <w:t>跨人接续时未完成任务及异常信息的完整性难以持续保证。</w:t>
            </w:r>
          </w:p>
        </w:tc>
      </w:tr>
      <w:tr w14:paraId="35381D21">
        <w:trPr>
          <w:cantSplit/>
          <w:jc w:val="center"/>
        </w:trPr>
        <w:tc>
          <w:tcPr>
            <w:tcW w:w="1325" w:type="dxa"/>
            <w:vAlign w:val="center"/>
          </w:tcPr>
          <w:p w14:paraId="408C5362">
            <w:pPr>
              <w:spacing w:before="30" w:after="30" w:line="290" w:lineRule="exact"/>
              <w:jc w:val="center"/>
            </w:pPr>
            <w:r>
              <w:rPr>
                <w:rFonts w:ascii="Arial Unicode MS" w:hAnsi="Arial Unicode MS" w:eastAsia="Arial Unicode MS"/>
                <w:b w:val="0"/>
                <w:color w:val="000000"/>
                <w:sz w:val="20"/>
              </w:rPr>
              <w:t>D02-P03</w:t>
            </w:r>
          </w:p>
        </w:tc>
        <w:tc>
          <w:tcPr>
            <w:tcW w:w="4853" w:type="dxa"/>
            <w:vAlign w:val="center"/>
          </w:tcPr>
          <w:p w14:paraId="5DBE4E74">
            <w:pPr>
              <w:spacing w:before="30" w:after="30" w:line="290" w:lineRule="exact"/>
            </w:pPr>
            <w:r>
              <w:rPr>
                <w:rFonts w:ascii="Arial Unicode MS" w:hAnsi="Arial Unicode MS" w:eastAsia="Arial Unicode MS"/>
                <w:b w:val="0"/>
                <w:color w:val="000000"/>
                <w:sz w:val="20"/>
              </w:rPr>
              <w:t>特殊业务缺少持续承担端到端结果的主责岗位。</w:t>
            </w:r>
          </w:p>
        </w:tc>
        <w:tc>
          <w:tcPr>
            <w:tcW w:w="3902" w:type="dxa"/>
            <w:vAlign w:val="center"/>
          </w:tcPr>
          <w:p w14:paraId="6ECF61DE">
            <w:pPr>
              <w:spacing w:before="30" w:after="30" w:line="290" w:lineRule="exact"/>
            </w:pPr>
            <w:r>
              <w:rPr>
                <w:rFonts w:ascii="Arial Unicode MS" w:hAnsi="Arial Unicode MS" w:eastAsia="Arial Unicode MS"/>
                <w:b w:val="0"/>
                <w:color w:val="000000"/>
                <w:sz w:val="20"/>
              </w:rPr>
              <w:t>人员变化后旧料消耗、套料修改等事项易停滞，制度和经验难以传承。</w:t>
            </w:r>
          </w:p>
        </w:tc>
      </w:tr>
    </w:tbl>
    <w:p w14:paraId="3D91B4D3">
      <w:pPr>
        <w:spacing w:before="20" w:after="20" w:line="120" w:lineRule="auto"/>
      </w:pPr>
    </w:p>
    <w:p w14:paraId="585DB15A">
      <w:pPr>
        <w:pStyle w:val="4"/>
        <w:pageBreakBefore w:val="0"/>
      </w:pPr>
      <w:bookmarkStart w:id="5" w:name="topic_D03"/>
      <w:r>
        <w:rPr>
          <w:rFonts w:ascii="Arial Unicode MS" w:hAnsi="Arial Unicode MS" w:eastAsia="Arial Unicode MS"/>
          <w:b/>
          <w:color w:val="000000"/>
        </w:rPr>
        <w:t>专题D03 销售 订单与交付</w:t>
      </w:r>
      <w:bookmarkEnd w:id="5"/>
    </w:p>
    <w:p w14:paraId="4664AA9F">
      <w:pPr>
        <w:keepNext/>
      </w:pPr>
      <w:r>
        <w:rPr>
          <w:rFonts w:ascii="Arial Unicode MS" w:hAnsi="Arial Unicode MS" w:eastAsia="Arial Unicode MS"/>
          <w:color w:val="000000"/>
        </w:rPr>
        <w:t>业务协作责任位 AR1、AR5、AR51、AR56、AR53、AR6、AR4</w:t>
      </w:r>
    </w:p>
    <w:p w14:paraId="7CDF7029">
      <w:pPr>
        <w:keepNext/>
      </w:pPr>
      <w:r>
        <w:rPr>
          <w:rFonts w:ascii="Arial Unicode MS" w:hAnsi="Arial Unicode MS" w:eastAsia="Arial Unicode MS"/>
          <w:color w:val="000000"/>
          <w:sz w:val="19"/>
        </w:rPr>
        <w:t>资料来源 S01 S02 S02T S05T S10 S10T S11</w:t>
      </w:r>
    </w:p>
    <w:p w14:paraId="5EBB52A5">
      <w:pPr>
        <w:pStyle w:val="5"/>
        <w:pageBreakBefore w:val="0"/>
      </w:pPr>
      <w:r>
        <w:rPr>
          <w:rFonts w:ascii="Arial Unicode MS" w:hAnsi="Arial Unicode MS" w:eastAsia="Arial Unicode MS"/>
          <w:b/>
          <w:color w:val="000000"/>
        </w:rPr>
        <w:t>业务对象与运行结论</w:t>
      </w:r>
    </w:p>
    <w:p w14:paraId="0721B237">
      <w:r>
        <w:rPr>
          <w:rFonts w:ascii="Arial Unicode MS" w:hAnsi="Arial Unicode MS" w:eastAsia="Arial Unicode MS"/>
          <w:color w:val="000000"/>
        </w:rPr>
        <w:t>业务对象包括正式销售订单、强意向需求、预测需求、售后补发/换购需求及客户包装配置。产品由多种关键部件组合形成，客户涵盖试验研发与批量应用场景，订单数量和型号组合波动明显。需求管理既要保障已承诺订单，也要控制未形成确定订单的备料和成品库存风险。</w:t>
      </w:r>
    </w:p>
    <w:p w14:paraId="34392B17">
      <w:r>
        <w:rPr>
          <w:rFonts w:ascii="Arial Unicode MS" w:hAnsi="Arial Unicode MS" w:eastAsia="Arial Unicode MS"/>
          <w:color w:val="000000"/>
        </w:rPr>
        <w:t>当前以订单驱动生产为主，原料备货已经运行，交付缓冲和成品补库存诉求进入计划，呈订单与库存保障并行的混合特征。正式订单和强意向需求能够进入生产安排，预测主要用于长周期物料备货，成品预测驱动的MTS闭环尚未成熟。后续系统应支持MTO与MTS的差异化管理，控制备库授权和需求冲销。交付管理依赖物料状态与经验报交，需求到工单、包装和发运的结构化传递不足，尚未形成一致的履约视图。</w:t>
      </w:r>
    </w:p>
    <w:p w14:paraId="3AC3B057">
      <w:pPr>
        <w:keepNext/>
        <w:spacing w:after="60" w:line="240" w:lineRule="auto"/>
        <w:jc w:val="center"/>
      </w:pPr>
      <w:r>
        <w:drawing>
          <wp:inline distT="0" distB="0" distL="114300" distR="114300">
            <wp:extent cx="6400800" cy="1410970"/>
            <wp:effectExtent l="0" t="0" r="0" b="11430"/>
            <wp:docPr id="4" name="Picture 4" descr="图4 D03业务流程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图4 D03业务流程概述"/>
                    <pic:cNvPicPr>
                      <a:picLocks noChangeAspect="1"/>
                    </pic:cNvPicPr>
                  </pic:nvPicPr>
                  <pic:blipFill>
                    <a:blip r:embed="rId11"/>
                    <a:stretch>
                      <a:fillRect/>
                    </a:stretch>
                  </pic:blipFill>
                  <pic:spPr>
                    <a:xfrm>
                      <a:off x="0" y="0"/>
                      <a:ext cx="6400800" cy="1411085"/>
                    </a:xfrm>
                    <a:prstGeom prst="rect">
                      <a:avLst/>
                    </a:prstGeom>
                  </pic:spPr>
                </pic:pic>
              </a:graphicData>
            </a:graphic>
          </wp:inline>
        </w:drawing>
      </w:r>
    </w:p>
    <w:p w14:paraId="788438B5">
      <w:pPr>
        <w:spacing w:after="180"/>
        <w:jc w:val="center"/>
      </w:pPr>
      <w:r>
        <w:rPr>
          <w:rFonts w:ascii="Arial Unicode MS" w:hAnsi="Arial Unicode MS" w:eastAsia="Arial Unicode MS"/>
          <w:color w:val="000000"/>
          <w:sz w:val="20"/>
        </w:rPr>
        <w:t>图4 D03业务流程概述</w:t>
      </w:r>
    </w:p>
    <w:p w14:paraId="186379C1">
      <w:pPr>
        <w:pStyle w:val="5"/>
        <w:pageBreakBefore w:val="0"/>
      </w:pPr>
      <w:r>
        <w:rPr>
          <w:rFonts w:ascii="Arial Unicode MS" w:hAnsi="Arial Unicode MS" w:eastAsia="Arial Unicode MS"/>
          <w:b/>
          <w:color w:val="000000"/>
        </w:rPr>
        <w:t>常规及特殊业务规则</w:t>
      </w:r>
    </w:p>
    <w:p w14:paraId="751637AD">
      <w:r>
        <w:rPr>
          <w:rFonts w:ascii="Arial Unicode MS" w:hAnsi="Arial Unicode MS" w:eastAsia="Arial Unicode MS"/>
          <w:color w:val="000000"/>
        </w:rPr>
        <w:t>正式销售订单是主要生产需求来源；强意向订单在签约前可提前进入生产安排。预测需求用于减速器等长周期物料的备货参考，尚不直接替代正式订单作为稳定的生产计划依据。客户订单与库存备货需求需分别标识，防止备库产出被误判为确定交付需求。</w:t>
      </w:r>
    </w:p>
    <w:p w14:paraId="50D97DB2">
      <w:r>
        <w:rPr>
          <w:rFonts w:ascii="Arial Unicode MS" w:hAnsi="Arial Unicode MS" w:eastAsia="Arial Unicode MS"/>
          <w:color w:val="000000"/>
        </w:rPr>
        <w:t>常规销售、售后先行补发及旧件退回后折扣换购均产生新品交付需求。换购订单可能同时存在正向交付和负向退回行，计划端处理正向交付需求，退回品需按独立状态管理。售后补发对响应时效具有更高要求。</w:t>
      </w:r>
    </w:p>
    <w:p w14:paraId="081F1EE6">
      <w:r>
        <w:rPr>
          <w:rFonts w:ascii="Arial Unicode MS" w:hAnsi="Arial Unicode MS" w:eastAsia="Arial Unicode MS"/>
          <w:color w:val="000000"/>
        </w:rPr>
        <w:t>订单优先级同时考虑客户等级、付款状态和国内/海外等因素，现有规则与ERP标准优先级逻辑存在差异。该规则属于需求分配和交付政策，应由AR1、AR5与AR51共同确认，形成可维护的规则表及调整授权。</w:t>
      </w:r>
    </w:p>
    <w:p w14:paraId="117396FB">
      <w:r>
        <w:rPr>
          <w:rFonts w:ascii="Arial Unicode MS" w:hAnsi="Arial Unicode MS" w:eastAsia="Arial Unicode MS"/>
          <w:color w:val="000000"/>
        </w:rPr>
        <w:t>常规齐套订单目前以十个工作日作为经验报交口径，AR1对少量需求参考交期指引，对较大需求向AR51相关人员确认。该口径依赖当前物料与生产条件，尚不构成基于有限产能自动计算的可承诺交期。</w:t>
      </w:r>
    </w:p>
    <w:p w14:paraId="28F4DB3F">
      <w:r>
        <w:rPr>
          <w:rFonts w:ascii="Arial Unicode MS" w:hAnsi="Arial Unicode MS" w:eastAsia="Arial Unicode MS"/>
          <w:color w:val="000000"/>
        </w:rPr>
        <w:t>客户不含电池、中英文资料、专属标签和指定送货单等要求通过订单或流转卡备注传递，在包装阶段执行并由AR6复核。订单取消、减量及内部制单纠错均有实际场景；已备料、已投产、已入库后的变更影响不同，当前缺少贯通下游单据和库存处置的统一规则。</w:t>
      </w:r>
    </w:p>
    <w:p w14:paraId="149CE9BC">
      <w:pPr>
        <w:pStyle w:val="5"/>
        <w:pageBreakBefore w:val="0"/>
      </w:pPr>
      <w:r>
        <w:rPr>
          <w:rFonts w:ascii="Arial Unicode MS" w:hAnsi="Arial Unicode MS" w:eastAsia="Arial Unicode MS"/>
          <w:b/>
          <w:color w:val="000000"/>
        </w:rPr>
        <w:t>系统与数字化现状</w:t>
      </w:r>
    </w:p>
    <w:p w14:paraId="68BBCCA3">
      <w:r>
        <w:rPr>
          <w:rFonts w:ascii="Arial Unicode MS" w:hAnsi="Arial Unicode MS" w:eastAsia="Arial Unicode MS"/>
          <w:color w:val="000000"/>
        </w:rPr>
        <w:t>销售订单由ERP承载，预测以飞书表格传递，交期指引和客户差异化要求仍含线下信息。交期预测已有辅助程序，但判断依赖现行物料与排产规则，尚未与现场实时进度形成完整闭环。</w:t>
      </w:r>
    </w:p>
    <w:p w14:paraId="79311B8D">
      <w:r>
        <w:rPr>
          <w:rFonts w:ascii="Arial Unicode MS" w:hAnsi="Arial Unicode MS" w:eastAsia="Arial Unicode MS"/>
          <w:color w:val="000000"/>
        </w:rPr>
        <w:t>发货通知、销售出库和物流单号已有单据基础。订单进度、生产完成、包装完成和实物发运的状态在不同环节分散记录，成品仓未能充分掌握生产计划及订单发货先后。AR1、AR51、AR56和AR53缺少共享的履约视图。</w:t>
      </w:r>
    </w:p>
    <w:p w14:paraId="16DB3B42">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325"/>
        <w:gridCol w:w="4853"/>
        <w:gridCol w:w="3902"/>
      </w:tblGrid>
      <w:tr w14:paraId="3C8CB63F">
        <w:trPr>
          <w:cantSplit/>
          <w:tblHeader/>
          <w:jc w:val="center"/>
        </w:trPr>
        <w:tc>
          <w:tcPr>
            <w:tcW w:w="1325" w:type="dxa"/>
            <w:shd w:val="clear" w:color="auto" w:fill="234A68"/>
            <w:vAlign w:val="center"/>
          </w:tcPr>
          <w:p w14:paraId="2B6AADE9">
            <w:pPr>
              <w:keepNext/>
              <w:spacing w:before="30" w:after="30" w:line="29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1A5A47B6">
            <w:pPr>
              <w:keepNext/>
              <w:spacing w:before="30" w:after="30" w:line="290" w:lineRule="exact"/>
            </w:pPr>
            <w:r>
              <w:rPr>
                <w:rFonts w:ascii="Arial Unicode MS" w:hAnsi="Arial Unicode MS" w:eastAsia="Arial Unicode MS"/>
                <w:b/>
                <w:color w:val="FFFFFF"/>
                <w:sz w:val="20"/>
              </w:rPr>
              <w:t>问题</w:t>
            </w:r>
          </w:p>
        </w:tc>
        <w:tc>
          <w:tcPr>
            <w:tcW w:w="3902" w:type="dxa"/>
            <w:shd w:val="clear" w:color="auto" w:fill="234A68"/>
            <w:vAlign w:val="center"/>
          </w:tcPr>
          <w:p w14:paraId="38B1657F">
            <w:pPr>
              <w:keepNext/>
              <w:spacing w:before="30" w:after="30" w:line="290" w:lineRule="exact"/>
            </w:pPr>
            <w:r>
              <w:rPr>
                <w:rFonts w:ascii="Arial Unicode MS" w:hAnsi="Arial Unicode MS" w:eastAsia="Arial Unicode MS"/>
                <w:b/>
                <w:color w:val="FFFFFF"/>
                <w:sz w:val="20"/>
              </w:rPr>
              <w:t>业务影响</w:t>
            </w:r>
          </w:p>
        </w:tc>
      </w:tr>
      <w:tr w14:paraId="418360C1">
        <w:trPr>
          <w:cantSplit/>
          <w:jc w:val="center"/>
        </w:trPr>
        <w:tc>
          <w:tcPr>
            <w:tcW w:w="1325" w:type="dxa"/>
            <w:vAlign w:val="center"/>
          </w:tcPr>
          <w:p w14:paraId="0E63A7F7">
            <w:pPr>
              <w:spacing w:before="30" w:after="30" w:line="290" w:lineRule="exact"/>
              <w:jc w:val="center"/>
            </w:pPr>
            <w:r>
              <w:rPr>
                <w:rFonts w:ascii="Arial Unicode MS" w:hAnsi="Arial Unicode MS" w:eastAsia="Arial Unicode MS"/>
                <w:b w:val="0"/>
                <w:color w:val="000000"/>
                <w:sz w:val="20"/>
              </w:rPr>
              <w:t>D03-P01</w:t>
            </w:r>
          </w:p>
        </w:tc>
        <w:tc>
          <w:tcPr>
            <w:tcW w:w="4853" w:type="dxa"/>
            <w:vAlign w:val="center"/>
          </w:tcPr>
          <w:p w14:paraId="4106EDB4">
            <w:pPr>
              <w:spacing w:before="30" w:after="30" w:line="290" w:lineRule="exact"/>
            </w:pPr>
            <w:r>
              <w:rPr>
                <w:rFonts w:ascii="Arial Unicode MS" w:hAnsi="Arial Unicode MS" w:eastAsia="Arial Unicode MS"/>
                <w:b w:val="0"/>
                <w:color w:val="000000"/>
                <w:sz w:val="20"/>
              </w:rPr>
              <w:t>预测、强意向、确定订单与备库任务缺少一致的需求分类和冲销管理。</w:t>
            </w:r>
          </w:p>
        </w:tc>
        <w:tc>
          <w:tcPr>
            <w:tcW w:w="3902" w:type="dxa"/>
            <w:vAlign w:val="center"/>
          </w:tcPr>
          <w:p w14:paraId="1DBBB8C6">
            <w:pPr>
              <w:spacing w:before="30" w:after="30" w:line="290" w:lineRule="exact"/>
            </w:pPr>
            <w:r>
              <w:rPr>
                <w:rFonts w:ascii="Arial Unicode MS" w:hAnsi="Arial Unicode MS" w:eastAsia="Arial Unicode MS"/>
                <w:b w:val="0"/>
                <w:color w:val="000000"/>
                <w:sz w:val="20"/>
              </w:rPr>
              <w:t>供应准备与实际销售错配，成品备库及呆滞风险上升。</w:t>
            </w:r>
          </w:p>
        </w:tc>
      </w:tr>
      <w:tr w14:paraId="7F4CCDC6">
        <w:trPr>
          <w:cantSplit/>
          <w:jc w:val="center"/>
        </w:trPr>
        <w:tc>
          <w:tcPr>
            <w:tcW w:w="1325" w:type="dxa"/>
            <w:shd w:val="clear" w:color="auto" w:fill="F1F5F8"/>
            <w:vAlign w:val="center"/>
          </w:tcPr>
          <w:p w14:paraId="0407A249">
            <w:pPr>
              <w:spacing w:before="30" w:after="30" w:line="290" w:lineRule="exact"/>
              <w:jc w:val="center"/>
            </w:pPr>
            <w:r>
              <w:rPr>
                <w:rFonts w:ascii="Arial Unicode MS" w:hAnsi="Arial Unicode MS" w:eastAsia="Arial Unicode MS"/>
                <w:b w:val="0"/>
                <w:color w:val="000000"/>
                <w:sz w:val="20"/>
              </w:rPr>
              <w:t>D03-P02</w:t>
            </w:r>
          </w:p>
        </w:tc>
        <w:tc>
          <w:tcPr>
            <w:tcW w:w="4853" w:type="dxa"/>
            <w:shd w:val="clear" w:color="auto" w:fill="F1F5F8"/>
            <w:vAlign w:val="center"/>
          </w:tcPr>
          <w:p w14:paraId="439AA413">
            <w:pPr>
              <w:spacing w:before="30" w:after="30" w:line="290" w:lineRule="exact"/>
            </w:pPr>
            <w:r>
              <w:rPr>
                <w:rFonts w:ascii="Arial Unicode MS" w:hAnsi="Arial Unicode MS" w:eastAsia="Arial Unicode MS"/>
                <w:b w:val="0"/>
                <w:color w:val="000000"/>
                <w:sz w:val="20"/>
              </w:rPr>
              <w:t>交期承诺主要依靠经验和物料判断，缺少产能与进度的共同校验。</w:t>
            </w:r>
          </w:p>
        </w:tc>
        <w:tc>
          <w:tcPr>
            <w:tcW w:w="3902" w:type="dxa"/>
            <w:shd w:val="clear" w:color="auto" w:fill="F1F5F8"/>
            <w:vAlign w:val="center"/>
          </w:tcPr>
          <w:p w14:paraId="7A1B7CE7">
            <w:pPr>
              <w:spacing w:before="30" w:after="30" w:line="290" w:lineRule="exact"/>
            </w:pPr>
            <w:r>
              <w:rPr>
                <w:rFonts w:ascii="Arial Unicode MS" w:hAnsi="Arial Unicode MS" w:eastAsia="Arial Unicode MS"/>
                <w:b w:val="0"/>
                <w:color w:val="000000"/>
                <w:sz w:val="20"/>
              </w:rPr>
              <w:t>型号组合变化时易出现承诺与执行能力不匹配。</w:t>
            </w:r>
          </w:p>
        </w:tc>
      </w:tr>
      <w:tr w14:paraId="40D69614">
        <w:trPr>
          <w:cantSplit/>
          <w:jc w:val="center"/>
        </w:trPr>
        <w:tc>
          <w:tcPr>
            <w:tcW w:w="1325" w:type="dxa"/>
            <w:vAlign w:val="center"/>
          </w:tcPr>
          <w:p w14:paraId="2A5CD530">
            <w:pPr>
              <w:spacing w:before="30" w:after="30" w:line="290" w:lineRule="exact"/>
              <w:jc w:val="center"/>
            </w:pPr>
            <w:r>
              <w:rPr>
                <w:rFonts w:ascii="Arial Unicode MS" w:hAnsi="Arial Unicode MS" w:eastAsia="Arial Unicode MS"/>
                <w:b w:val="0"/>
                <w:color w:val="000000"/>
                <w:sz w:val="20"/>
              </w:rPr>
              <w:t>D03-P03</w:t>
            </w:r>
          </w:p>
        </w:tc>
        <w:tc>
          <w:tcPr>
            <w:tcW w:w="4853" w:type="dxa"/>
            <w:vAlign w:val="center"/>
          </w:tcPr>
          <w:p w14:paraId="5EF6C92C">
            <w:pPr>
              <w:spacing w:before="30" w:after="30" w:line="290" w:lineRule="exact"/>
            </w:pPr>
            <w:r>
              <w:rPr>
                <w:rFonts w:ascii="Arial Unicode MS" w:hAnsi="Arial Unicode MS" w:eastAsia="Arial Unicode MS"/>
                <w:b w:val="0"/>
                <w:color w:val="000000"/>
                <w:sz w:val="20"/>
              </w:rPr>
              <w:t>客户特殊要求停留在备注和人工核对，未形成结构化交付配置。</w:t>
            </w:r>
          </w:p>
        </w:tc>
        <w:tc>
          <w:tcPr>
            <w:tcW w:w="3902" w:type="dxa"/>
            <w:vAlign w:val="center"/>
          </w:tcPr>
          <w:p w14:paraId="38125278">
            <w:pPr>
              <w:spacing w:before="30" w:after="30" w:line="290" w:lineRule="exact"/>
            </w:pPr>
            <w:r>
              <w:rPr>
                <w:rFonts w:ascii="Arial Unicode MS" w:hAnsi="Arial Unicode MS" w:eastAsia="Arial Unicode MS"/>
                <w:b w:val="0"/>
                <w:color w:val="000000"/>
                <w:sz w:val="20"/>
              </w:rPr>
              <w:t>包装配套、资料语言、标签及电池领退难以统一校验。</w:t>
            </w:r>
          </w:p>
        </w:tc>
      </w:tr>
      <w:tr w14:paraId="001063F3">
        <w:trPr>
          <w:cantSplit/>
          <w:jc w:val="center"/>
        </w:trPr>
        <w:tc>
          <w:tcPr>
            <w:tcW w:w="1325" w:type="dxa"/>
            <w:shd w:val="clear" w:color="auto" w:fill="F1F5F8"/>
            <w:vAlign w:val="center"/>
          </w:tcPr>
          <w:p w14:paraId="4A014AC1">
            <w:pPr>
              <w:spacing w:before="30" w:after="30" w:line="290" w:lineRule="exact"/>
              <w:jc w:val="center"/>
            </w:pPr>
            <w:r>
              <w:rPr>
                <w:rFonts w:ascii="Arial Unicode MS" w:hAnsi="Arial Unicode MS" w:eastAsia="Arial Unicode MS"/>
                <w:b w:val="0"/>
                <w:color w:val="000000"/>
                <w:sz w:val="20"/>
              </w:rPr>
              <w:t>D03-P04</w:t>
            </w:r>
          </w:p>
        </w:tc>
        <w:tc>
          <w:tcPr>
            <w:tcW w:w="4853" w:type="dxa"/>
            <w:shd w:val="clear" w:color="auto" w:fill="F1F5F8"/>
            <w:vAlign w:val="center"/>
          </w:tcPr>
          <w:p w14:paraId="2FE4628C">
            <w:pPr>
              <w:spacing w:before="30" w:after="30" w:line="290" w:lineRule="exact"/>
            </w:pPr>
            <w:r>
              <w:rPr>
                <w:rFonts w:ascii="Arial Unicode MS" w:hAnsi="Arial Unicode MS" w:eastAsia="Arial Unicode MS"/>
                <w:b w:val="0"/>
                <w:color w:val="000000"/>
                <w:sz w:val="20"/>
              </w:rPr>
              <w:t>订单变更及取消缺少下游工单、物料与成品的联动处置规则。</w:t>
            </w:r>
          </w:p>
        </w:tc>
        <w:tc>
          <w:tcPr>
            <w:tcW w:w="3902" w:type="dxa"/>
            <w:shd w:val="clear" w:color="auto" w:fill="F1F5F8"/>
            <w:vAlign w:val="center"/>
          </w:tcPr>
          <w:p w14:paraId="53DA1042">
            <w:pPr>
              <w:spacing w:before="30" w:after="30" w:line="290" w:lineRule="exact"/>
            </w:pPr>
            <w:r>
              <w:rPr>
                <w:rFonts w:ascii="Arial Unicode MS" w:hAnsi="Arial Unicode MS" w:eastAsia="Arial Unicode MS"/>
                <w:b w:val="0"/>
                <w:color w:val="000000"/>
                <w:sz w:val="20"/>
              </w:rPr>
              <w:t>ERP与MES状态不一致，遗留任务及库存无法及时收敛。</w:t>
            </w:r>
          </w:p>
        </w:tc>
      </w:tr>
    </w:tbl>
    <w:p w14:paraId="43CD8A56">
      <w:pPr>
        <w:spacing w:before="20" w:after="20" w:line="120" w:lineRule="auto"/>
      </w:pPr>
    </w:p>
    <w:p w14:paraId="11C16E1E">
      <w:pPr>
        <w:pStyle w:val="4"/>
        <w:pageBreakBefore w:val="0"/>
      </w:pPr>
      <w:bookmarkStart w:id="6" w:name="topic_D04"/>
      <w:r>
        <w:rPr>
          <w:rFonts w:ascii="Arial Unicode MS" w:hAnsi="Arial Unicode MS" w:eastAsia="Arial Unicode MS"/>
          <w:b/>
          <w:color w:val="000000"/>
        </w:rPr>
        <w:t>专题D04 产品 研发与工艺工程</w:t>
      </w:r>
      <w:bookmarkEnd w:id="6"/>
    </w:p>
    <w:p w14:paraId="17A50DC7">
      <w:pPr>
        <w:keepNext/>
      </w:pPr>
      <w:r>
        <w:rPr>
          <w:rFonts w:ascii="Arial Unicode MS" w:hAnsi="Arial Unicode MS" w:eastAsia="Arial Unicode MS"/>
          <w:color w:val="000000"/>
        </w:rPr>
        <w:t>业务协作责任位 AR2、AR222、AR2435、AR56（NPI职能）、AR562（制造工程与文控职能），协作接口为AR51、AR54、AR53和AR6</w:t>
      </w:r>
    </w:p>
    <w:p w14:paraId="0DB02E9E">
      <w:pPr>
        <w:keepNext/>
      </w:pPr>
      <w:r>
        <w:rPr>
          <w:rFonts w:ascii="Arial Unicode MS" w:hAnsi="Arial Unicode MS" w:eastAsia="Arial Unicode MS"/>
          <w:color w:val="000000"/>
        </w:rPr>
        <w:t>资料来源 S01 S03 S04 S06 S06T S11 S18 S18T S21 S21T</w:t>
      </w:r>
    </w:p>
    <w:p w14:paraId="1A036A61">
      <w:pPr>
        <w:pStyle w:val="5"/>
        <w:pageBreakBefore w:val="0"/>
      </w:pPr>
      <w:r>
        <w:rPr>
          <w:rFonts w:ascii="Arial Unicode MS" w:hAnsi="Arial Unicode MS" w:eastAsia="Arial Unicode MS"/>
          <w:b/>
          <w:color w:val="000000"/>
        </w:rPr>
        <w:t>业务对象与运行结论</w:t>
      </w:r>
    </w:p>
    <w:p w14:paraId="019AD163">
      <w:r>
        <w:rPr>
          <w:rFonts w:ascii="Arial Unicode MS" w:hAnsi="Arial Unicode MS" w:eastAsia="Arial Unicode MS"/>
          <w:color w:val="000000"/>
        </w:rPr>
        <w:t>核心对象为机器人关节及其模组、物料、BOM、工艺路线、图纸、SOP、夹治具和产测软件。产品结构具有多型号、多硬件版本和减速比组合特点，设计参数、制造方法和测试配置分别由不同岗位维护；产品版本、BOM版本、SOP版本及软件版本不能互相替代。当前未形成独立、完整的制造BOM视图及其与工序用料、工装、参数的受控关联。</w:t>
      </w:r>
    </w:p>
    <w:p w14:paraId="6DA61B40">
      <w:r>
        <w:rPr>
          <w:rFonts w:ascii="Arial Unicode MS" w:hAnsi="Arial Unicode MS" w:eastAsia="Arial Unicode MS"/>
          <w:color w:val="000000"/>
        </w:rPr>
        <w:t>研发设计成果能够支持产品制造，但从设计完成到稳定量产的工程交付仍以人员沟通和生产补充为主。BOM解决了“用哪些料”，尚未充分解决“在何处、用什么方法、按何种参数和检验依据使用”；资料齐全性、版本适用性和变更落实缺少统一的责任与检查机制。当前改进重点应是工程交付和制造数据治理，建立可供现场直接使用的最小受控生产依据。</w:t>
      </w:r>
    </w:p>
    <w:p w14:paraId="6F0F560C">
      <w:pPr>
        <w:keepNext/>
        <w:spacing w:after="60" w:line="240" w:lineRule="auto"/>
        <w:jc w:val="center"/>
      </w:pPr>
      <w:r>
        <w:drawing>
          <wp:inline distT="0" distB="0" distL="114300" distR="114300">
            <wp:extent cx="6400800" cy="1410970"/>
            <wp:effectExtent l="0" t="0" r="0" b="11430"/>
            <wp:docPr id="5" name="Picture 5" descr="图5 D04业务流程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图5 D04业务流程概述"/>
                    <pic:cNvPicPr>
                      <a:picLocks noChangeAspect="1"/>
                    </pic:cNvPicPr>
                  </pic:nvPicPr>
                  <pic:blipFill>
                    <a:blip r:embed="rId12"/>
                    <a:stretch>
                      <a:fillRect/>
                    </a:stretch>
                  </pic:blipFill>
                  <pic:spPr>
                    <a:xfrm>
                      <a:off x="0" y="0"/>
                      <a:ext cx="6400800" cy="1411085"/>
                    </a:xfrm>
                    <a:prstGeom prst="rect">
                      <a:avLst/>
                    </a:prstGeom>
                  </pic:spPr>
                </pic:pic>
              </a:graphicData>
            </a:graphic>
          </wp:inline>
        </w:drawing>
      </w:r>
    </w:p>
    <w:p w14:paraId="216242A2">
      <w:pPr>
        <w:spacing w:after="180"/>
        <w:jc w:val="center"/>
      </w:pPr>
      <w:r>
        <w:rPr>
          <w:rFonts w:ascii="Arial Unicode MS" w:hAnsi="Arial Unicode MS" w:eastAsia="Arial Unicode MS"/>
          <w:color w:val="000000"/>
          <w:sz w:val="20"/>
        </w:rPr>
        <w:t>图5 D04业务流程概述</w:t>
      </w:r>
    </w:p>
    <w:p w14:paraId="7E1273A6">
      <w:pPr>
        <w:pStyle w:val="5"/>
        <w:pageBreakBefore w:val="0"/>
      </w:pPr>
      <w:r>
        <w:rPr>
          <w:rFonts w:ascii="Arial Unicode MS" w:hAnsi="Arial Unicode MS" w:eastAsia="Arial Unicode MS"/>
          <w:b/>
          <w:color w:val="000000"/>
        </w:rPr>
        <w:t>常规及特殊业务规则</w:t>
      </w:r>
    </w:p>
    <w:p w14:paraId="75E89145">
      <w:r>
        <w:rPr>
          <w:rFonts w:ascii="Arial Unicode MS" w:hAnsi="Arial Unicode MS" w:eastAsia="Arial Unicode MS"/>
          <w:color w:val="000000"/>
        </w:rPr>
        <w:t>研发内部试制由AR2自行管理，移交产线后首产与后续量产的基本作业流程接近，主要差别在工程关注、缺项补测和异常反馈。首产需要排程通知及工程跟进，无须据此给每道工序增加独立审批流程。AR2移交范围包括新物料、夹具与图纸、工艺参数、产测软件、检验标准及出货检验表；当前存在标准未定稿、旧表参数未更新的问题。</w:t>
      </w:r>
    </w:p>
    <w:p w14:paraId="7363132D">
      <w:r>
        <w:rPr>
          <w:rFonts w:ascii="Arial Unicode MS" w:hAnsi="Arial Unicode MS" w:eastAsia="Arial Unicode MS"/>
          <w:color w:val="000000"/>
        </w:rPr>
        <w:t>ECN经协同平台审批后由人员维护金蝶BOM，现行用料切换主要结合旧料消耗。AR2、AR562及AR56相关职能按物料和工艺影响维护SOP并通知现场；制造路线与资源搭配需要衔接产品技术要求、现场适用性及工程交付。</w:t>
      </w:r>
    </w:p>
    <w:p w14:paraId="76F90425">
      <w:r>
        <w:rPr>
          <w:rFonts w:ascii="Arial Unicode MS" w:hAnsi="Arial Unicode MS" w:eastAsia="Arial Unicode MS"/>
          <w:color w:val="000000"/>
        </w:rPr>
        <w:t>现场装配以人员完成连续作业为主，可按主要物料安装节点组织工序；同一螺钉在不同机型上的用途不一，现由口头说明、仓库包装标签和员工经验辨识，不能作为可靠的工程数据来源。MES初期不要求所有工单与整套工艺文件全面强绑定，但需记录实际使用依据，确认关键物料、参数、工装和测试版本的适用关系，正式出货所需标准及记录应完整。</w:t>
      </w:r>
    </w:p>
    <w:p w14:paraId="1D7CC53B">
      <w:pPr>
        <w:pStyle w:val="5"/>
        <w:pageBreakBefore w:val="0"/>
      </w:pPr>
      <w:r>
        <w:rPr>
          <w:rFonts w:ascii="Arial Unicode MS" w:hAnsi="Arial Unicode MS" w:eastAsia="Arial Unicode MS"/>
          <w:b/>
          <w:color w:val="000000"/>
        </w:rPr>
        <w:t>系统与数字化现状</w:t>
      </w:r>
    </w:p>
    <w:p w14:paraId="691FB4E2">
      <w:r>
        <w:rPr>
          <w:rFonts w:ascii="Arial Unicode MS" w:hAnsi="Arial Unicode MS" w:eastAsia="Arial Unicode MS"/>
          <w:color w:val="000000"/>
        </w:rPr>
        <w:t>金蝶承载物料和BOM，PLM/ERP工艺路线未得到持续维护，AR562文控职能管理SOP与治具版本，本地电脑保存部分电子文件。受访文控岗位承担研发图纸和SOP纸档受控发放，更新时替换。现有受控基础应继续保留；电子SOP与型号、物料、BOM、工装及设备的结构化关联和实际引用版本仍需完善。</w:t>
      </w:r>
    </w:p>
    <w:p w14:paraId="0B71CEE5">
      <w:r>
        <w:rPr>
          <w:rFonts w:ascii="Arial Unicode MS" w:hAnsi="Arial Unicode MS" w:eastAsia="Arial Unicode MS"/>
          <w:color w:val="000000"/>
        </w:rPr>
        <w:t>产测软件已具备完整的配置与测试控制功能，MES应获取产品身份、适配信息、实际版本和结果，保留其控制职责。制造数据建设应将组件分配、安装位置、扭力等工艺参数与SOP关联；无需将所有参数都挤入ERP BOM字段。</w:t>
      </w:r>
    </w:p>
    <w:p w14:paraId="4AA3CFBF">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325"/>
        <w:gridCol w:w="4853"/>
        <w:gridCol w:w="3902"/>
      </w:tblGrid>
      <w:tr w14:paraId="5DE4873F">
        <w:trPr>
          <w:cantSplit/>
          <w:tblHeader/>
          <w:jc w:val="center"/>
        </w:trPr>
        <w:tc>
          <w:tcPr>
            <w:tcW w:w="1325" w:type="dxa"/>
            <w:shd w:val="clear" w:color="auto" w:fill="234A68"/>
            <w:vAlign w:val="center"/>
          </w:tcPr>
          <w:p w14:paraId="16F0825B">
            <w:pPr>
              <w:keepNext/>
              <w:spacing w:before="30" w:after="30" w:line="29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58F9E831">
            <w:pPr>
              <w:keepNext/>
              <w:spacing w:before="30" w:after="30" w:line="290" w:lineRule="exact"/>
            </w:pPr>
            <w:r>
              <w:rPr>
                <w:rFonts w:ascii="Arial Unicode MS" w:hAnsi="Arial Unicode MS" w:eastAsia="Arial Unicode MS"/>
                <w:b/>
                <w:color w:val="FFFFFF"/>
                <w:sz w:val="20"/>
              </w:rPr>
              <w:t>问题</w:t>
            </w:r>
          </w:p>
        </w:tc>
        <w:tc>
          <w:tcPr>
            <w:tcW w:w="3902" w:type="dxa"/>
            <w:shd w:val="clear" w:color="auto" w:fill="234A68"/>
            <w:vAlign w:val="center"/>
          </w:tcPr>
          <w:p w14:paraId="400D8DCE">
            <w:pPr>
              <w:keepNext/>
              <w:spacing w:before="30" w:after="30" w:line="290" w:lineRule="exact"/>
            </w:pPr>
            <w:r>
              <w:rPr>
                <w:rFonts w:ascii="Arial Unicode MS" w:hAnsi="Arial Unicode MS" w:eastAsia="Arial Unicode MS"/>
                <w:b/>
                <w:color w:val="FFFFFF"/>
                <w:sz w:val="20"/>
              </w:rPr>
              <w:t>业务影响</w:t>
            </w:r>
          </w:p>
        </w:tc>
      </w:tr>
      <w:tr w14:paraId="60761D97">
        <w:trPr>
          <w:cantSplit/>
          <w:jc w:val="center"/>
        </w:trPr>
        <w:tc>
          <w:tcPr>
            <w:tcW w:w="1325" w:type="dxa"/>
            <w:vAlign w:val="center"/>
          </w:tcPr>
          <w:p w14:paraId="7D3E9CCE">
            <w:pPr>
              <w:spacing w:before="30" w:after="30" w:line="290" w:lineRule="exact"/>
              <w:jc w:val="center"/>
            </w:pPr>
            <w:r>
              <w:rPr>
                <w:rFonts w:ascii="Arial Unicode MS" w:hAnsi="Arial Unicode MS" w:eastAsia="Arial Unicode MS"/>
                <w:b w:val="0"/>
                <w:color w:val="000000"/>
                <w:sz w:val="20"/>
              </w:rPr>
              <w:t>D04-P01</w:t>
            </w:r>
          </w:p>
        </w:tc>
        <w:tc>
          <w:tcPr>
            <w:tcW w:w="4853" w:type="dxa"/>
            <w:vAlign w:val="center"/>
          </w:tcPr>
          <w:p w14:paraId="114C44E6">
            <w:pPr>
              <w:spacing w:before="30" w:after="30" w:line="290" w:lineRule="exact"/>
            </w:pPr>
            <w:r>
              <w:rPr>
                <w:rFonts w:ascii="Arial Unicode MS" w:hAnsi="Arial Unicode MS" w:eastAsia="Arial Unicode MS"/>
                <w:b w:val="0"/>
                <w:color w:val="000000"/>
                <w:sz w:val="20"/>
              </w:rPr>
              <w:t>研发至量产的交付清单和接收门槛不严谨，标准、参数、出货表在生产中继续补充</w:t>
            </w:r>
          </w:p>
        </w:tc>
        <w:tc>
          <w:tcPr>
            <w:tcW w:w="3902" w:type="dxa"/>
            <w:vAlign w:val="center"/>
          </w:tcPr>
          <w:p w14:paraId="78330C31">
            <w:pPr>
              <w:spacing w:before="30" w:after="30" w:line="290" w:lineRule="exact"/>
            </w:pPr>
            <w:r>
              <w:rPr>
                <w:rFonts w:ascii="Arial Unicode MS" w:hAnsi="Arial Unicode MS" w:eastAsia="Arial Unicode MS"/>
                <w:b w:val="0"/>
                <w:color w:val="000000"/>
                <w:sz w:val="20"/>
              </w:rPr>
              <w:t>首产准备不足，工程反复协调，测试通过与满足正式出货要求可能脱节</w:t>
            </w:r>
          </w:p>
        </w:tc>
      </w:tr>
      <w:tr w14:paraId="393B3A28">
        <w:trPr>
          <w:cantSplit/>
          <w:jc w:val="center"/>
        </w:trPr>
        <w:tc>
          <w:tcPr>
            <w:tcW w:w="1325" w:type="dxa"/>
            <w:shd w:val="clear" w:color="auto" w:fill="F1F5F8"/>
            <w:vAlign w:val="center"/>
          </w:tcPr>
          <w:p w14:paraId="23A252EE">
            <w:pPr>
              <w:spacing w:before="30" w:after="30" w:line="290" w:lineRule="exact"/>
              <w:jc w:val="center"/>
            </w:pPr>
            <w:r>
              <w:rPr>
                <w:rFonts w:ascii="Arial Unicode MS" w:hAnsi="Arial Unicode MS" w:eastAsia="Arial Unicode MS"/>
                <w:b w:val="0"/>
                <w:color w:val="000000"/>
                <w:sz w:val="20"/>
              </w:rPr>
              <w:t>D04-P02</w:t>
            </w:r>
          </w:p>
        </w:tc>
        <w:tc>
          <w:tcPr>
            <w:tcW w:w="4853" w:type="dxa"/>
            <w:shd w:val="clear" w:color="auto" w:fill="F1F5F8"/>
            <w:vAlign w:val="center"/>
          </w:tcPr>
          <w:p w14:paraId="65A53096">
            <w:pPr>
              <w:spacing w:before="30" w:after="30" w:line="290" w:lineRule="exact"/>
            </w:pPr>
            <w:r>
              <w:rPr>
                <w:rFonts w:ascii="Arial Unicode MS" w:hAnsi="Arial Unicode MS" w:eastAsia="Arial Unicode MS"/>
                <w:b w:val="0"/>
                <w:color w:val="000000"/>
                <w:sz w:val="20"/>
              </w:rPr>
              <w:t>制造BOM/工序用料视图不足，螺钉安装位置和扭力等信息未形成统一受控关联</w:t>
            </w:r>
          </w:p>
        </w:tc>
        <w:tc>
          <w:tcPr>
            <w:tcW w:w="3902" w:type="dxa"/>
            <w:shd w:val="clear" w:color="auto" w:fill="F1F5F8"/>
            <w:vAlign w:val="center"/>
          </w:tcPr>
          <w:p w14:paraId="5C9F5243">
            <w:pPr>
              <w:spacing w:before="30" w:after="30" w:line="290" w:lineRule="exact"/>
            </w:pPr>
            <w:r>
              <w:rPr>
                <w:rFonts w:ascii="Arial Unicode MS" w:hAnsi="Arial Unicode MS" w:eastAsia="Arial Unicode MS"/>
                <w:b w:val="0"/>
                <w:color w:val="000000"/>
                <w:sz w:val="20"/>
              </w:rPr>
              <w:t>仓库标签和员工经验承担工程解释，换机型或换人员时增加错料错装风险</w:t>
            </w:r>
          </w:p>
        </w:tc>
      </w:tr>
      <w:tr w14:paraId="6B825543">
        <w:trPr>
          <w:cantSplit/>
          <w:jc w:val="center"/>
        </w:trPr>
        <w:tc>
          <w:tcPr>
            <w:tcW w:w="1325" w:type="dxa"/>
            <w:vAlign w:val="center"/>
          </w:tcPr>
          <w:p w14:paraId="1DB8FFAB">
            <w:pPr>
              <w:spacing w:before="30" w:after="30" w:line="290" w:lineRule="exact"/>
              <w:jc w:val="center"/>
            </w:pPr>
            <w:r>
              <w:rPr>
                <w:rFonts w:ascii="Arial Unicode MS" w:hAnsi="Arial Unicode MS" w:eastAsia="Arial Unicode MS"/>
                <w:b w:val="0"/>
                <w:color w:val="000000"/>
                <w:sz w:val="20"/>
              </w:rPr>
              <w:t>D04-P03</w:t>
            </w:r>
          </w:p>
        </w:tc>
        <w:tc>
          <w:tcPr>
            <w:tcW w:w="4853" w:type="dxa"/>
            <w:vAlign w:val="center"/>
          </w:tcPr>
          <w:p w14:paraId="746E9336">
            <w:pPr>
              <w:spacing w:before="30" w:after="30" w:line="290" w:lineRule="exact"/>
            </w:pPr>
            <w:r>
              <w:rPr>
                <w:rFonts w:ascii="Arial Unicode MS" w:hAnsi="Arial Unicode MS" w:eastAsia="Arial Unicode MS"/>
                <w:b w:val="0"/>
                <w:color w:val="000000"/>
                <w:sz w:val="20"/>
              </w:rPr>
              <w:t>ECN审批、BOM维护、旧料消耗与工艺资料更新依靠人工衔接</w:t>
            </w:r>
          </w:p>
        </w:tc>
        <w:tc>
          <w:tcPr>
            <w:tcW w:w="3902" w:type="dxa"/>
            <w:vAlign w:val="center"/>
          </w:tcPr>
          <w:p w14:paraId="4982952C">
            <w:pPr>
              <w:spacing w:before="30" w:after="30" w:line="290" w:lineRule="exact"/>
            </w:pPr>
            <w:r>
              <w:rPr>
                <w:rFonts w:ascii="Arial Unicode MS" w:hAnsi="Arial Unicode MS" w:eastAsia="Arial Unicode MS"/>
                <w:b w:val="0"/>
                <w:color w:val="000000"/>
                <w:sz w:val="20"/>
              </w:rPr>
              <w:t>变更批准不等于现场落实，新旧料兼容与工艺适用依据难追溯</w:t>
            </w:r>
          </w:p>
        </w:tc>
      </w:tr>
      <w:tr w14:paraId="7E7EE7A5">
        <w:trPr>
          <w:cantSplit/>
          <w:jc w:val="center"/>
        </w:trPr>
        <w:tc>
          <w:tcPr>
            <w:tcW w:w="1325" w:type="dxa"/>
            <w:shd w:val="clear" w:color="auto" w:fill="F1F5F8"/>
            <w:vAlign w:val="center"/>
          </w:tcPr>
          <w:p w14:paraId="598374E9">
            <w:pPr>
              <w:spacing w:before="30" w:after="30" w:line="290" w:lineRule="exact"/>
              <w:jc w:val="center"/>
            </w:pPr>
            <w:r>
              <w:rPr>
                <w:rFonts w:ascii="Arial Unicode MS" w:hAnsi="Arial Unicode MS" w:eastAsia="Arial Unicode MS"/>
                <w:b w:val="0"/>
                <w:color w:val="000000"/>
                <w:sz w:val="20"/>
              </w:rPr>
              <w:t>D04-P04</w:t>
            </w:r>
          </w:p>
        </w:tc>
        <w:tc>
          <w:tcPr>
            <w:tcW w:w="4853" w:type="dxa"/>
            <w:shd w:val="clear" w:color="auto" w:fill="F1F5F8"/>
            <w:vAlign w:val="center"/>
          </w:tcPr>
          <w:p w14:paraId="26713C63">
            <w:pPr>
              <w:spacing w:before="30" w:after="30" w:line="290" w:lineRule="exact"/>
            </w:pPr>
            <w:r>
              <w:rPr>
                <w:rFonts w:ascii="Arial Unicode MS" w:hAnsi="Arial Unicode MS" w:eastAsia="Arial Unicode MS"/>
                <w:b w:val="0"/>
                <w:color w:val="000000"/>
                <w:sz w:val="20"/>
              </w:rPr>
              <w:t>SOP、工装、BOM、图纸及产测版本分别维护，缺少结构化适用关系</w:t>
            </w:r>
          </w:p>
        </w:tc>
        <w:tc>
          <w:tcPr>
            <w:tcW w:w="3902" w:type="dxa"/>
            <w:shd w:val="clear" w:color="auto" w:fill="F1F5F8"/>
            <w:vAlign w:val="center"/>
          </w:tcPr>
          <w:p w14:paraId="43D1241E">
            <w:pPr>
              <w:spacing w:before="30" w:after="30" w:line="290" w:lineRule="exact"/>
            </w:pPr>
            <w:r>
              <w:rPr>
                <w:rFonts w:ascii="Arial Unicode MS" w:hAnsi="Arial Unicode MS" w:eastAsia="Arial Unicode MS"/>
                <w:b w:val="0"/>
                <w:color w:val="000000"/>
                <w:sz w:val="20"/>
              </w:rPr>
              <w:t>难以按产品/工单直接取得一致的作业依据，也难解释历史产品实际制造依据</w:t>
            </w:r>
          </w:p>
        </w:tc>
      </w:tr>
      <w:tr w14:paraId="70E28E66">
        <w:trPr>
          <w:cantSplit/>
          <w:jc w:val="center"/>
        </w:trPr>
        <w:tc>
          <w:tcPr>
            <w:tcW w:w="1325" w:type="dxa"/>
            <w:vAlign w:val="center"/>
          </w:tcPr>
          <w:p w14:paraId="29B24C13">
            <w:pPr>
              <w:spacing w:before="30" w:after="30" w:line="290" w:lineRule="exact"/>
              <w:jc w:val="center"/>
            </w:pPr>
            <w:r>
              <w:rPr>
                <w:rFonts w:ascii="Arial Unicode MS" w:hAnsi="Arial Unicode MS" w:eastAsia="Arial Unicode MS"/>
                <w:b w:val="0"/>
                <w:color w:val="000000"/>
                <w:sz w:val="20"/>
              </w:rPr>
              <w:t>D04-P05</w:t>
            </w:r>
          </w:p>
        </w:tc>
        <w:tc>
          <w:tcPr>
            <w:tcW w:w="4853" w:type="dxa"/>
            <w:vAlign w:val="center"/>
          </w:tcPr>
          <w:p w14:paraId="2B0D2860">
            <w:pPr>
              <w:spacing w:before="30" w:after="30" w:line="290" w:lineRule="exact"/>
            </w:pPr>
            <w:r>
              <w:rPr>
                <w:rFonts w:ascii="Arial Unicode MS" w:hAnsi="Arial Unicode MS" w:eastAsia="Arial Unicode MS"/>
                <w:b w:val="0"/>
                <w:color w:val="000000"/>
                <w:sz w:val="20"/>
              </w:rPr>
              <w:t>新机型排程由群沟通传递，DVT异常与新料风险未形成完整移交闭环</w:t>
            </w:r>
          </w:p>
        </w:tc>
        <w:tc>
          <w:tcPr>
            <w:tcW w:w="3902" w:type="dxa"/>
            <w:vAlign w:val="center"/>
          </w:tcPr>
          <w:p w14:paraId="3E74F540">
            <w:pPr>
              <w:spacing w:before="30" w:after="30" w:line="290" w:lineRule="exact"/>
            </w:pPr>
            <w:r>
              <w:rPr>
                <w:rFonts w:ascii="Arial Unicode MS" w:hAnsi="Arial Unicode MS" w:eastAsia="Arial Unicode MS"/>
                <w:b w:val="0"/>
                <w:color w:val="000000"/>
                <w:sz w:val="20"/>
              </w:rPr>
              <w:t>工程跟进可能滞后，已发现的问题未充分转化为生产准备及检验关注项</w:t>
            </w:r>
          </w:p>
        </w:tc>
      </w:tr>
    </w:tbl>
    <w:p w14:paraId="61889F95">
      <w:pPr>
        <w:spacing w:before="20" w:after="20" w:line="120" w:lineRule="auto"/>
      </w:pPr>
    </w:p>
    <w:p w14:paraId="11A7409A">
      <w:pPr>
        <w:pStyle w:val="4"/>
        <w:pageBreakBefore w:val="0"/>
      </w:pPr>
      <w:bookmarkStart w:id="7" w:name="topic_D05"/>
      <w:r>
        <w:rPr>
          <w:rFonts w:ascii="Arial Unicode MS" w:hAnsi="Arial Unicode MS" w:eastAsia="Arial Unicode MS"/>
          <w:b/>
          <w:color w:val="000000"/>
        </w:rPr>
        <w:t>专题D05 计划 产能与生产执行</w:t>
      </w:r>
      <w:bookmarkEnd w:id="7"/>
    </w:p>
    <w:p w14:paraId="0216B443">
      <w:pPr>
        <w:keepNext/>
      </w:pPr>
      <w:r>
        <w:rPr>
          <w:rFonts w:ascii="Arial Unicode MS" w:hAnsi="Arial Unicode MS" w:eastAsia="Arial Unicode MS"/>
          <w:color w:val="000000"/>
        </w:rPr>
        <w:t>业务协作责任位 AR51、AR56、AR53、AR54、AR2、AR562、AR6、AR567；NPI职能归入AR56</w:t>
      </w:r>
    </w:p>
    <w:p w14:paraId="10141C74">
      <w:pPr>
        <w:keepNext/>
      </w:pPr>
      <w:r>
        <w:rPr>
          <w:rFonts w:ascii="Arial Unicode MS" w:hAnsi="Arial Unicode MS" w:eastAsia="Arial Unicode MS"/>
          <w:color w:val="000000"/>
        </w:rPr>
        <w:t>资料来源 S01 S02 S02T S05 S05T S11 S16 S18 S18T S20 S20T S21 S21T</w:t>
      </w:r>
    </w:p>
    <w:p w14:paraId="7100F03B">
      <w:pPr>
        <w:pStyle w:val="5"/>
        <w:pageBreakBefore w:val="0"/>
      </w:pPr>
      <w:r>
        <w:rPr>
          <w:rFonts w:ascii="Arial Unicode MS" w:hAnsi="Arial Unicode MS" w:eastAsia="Arial Unicode MS"/>
          <w:b/>
          <w:color w:val="000000"/>
        </w:rPr>
        <w:t>业务对象与运行结论</w:t>
      </w:r>
    </w:p>
    <w:p w14:paraId="0E2CACED">
      <w:r>
        <w:rPr>
          <w:rFonts w:ascii="Arial Unicode MS" w:hAnsi="Arial Unicode MS" w:eastAsia="Arial Unicode MS"/>
          <w:color w:val="000000"/>
        </w:rPr>
        <w:t>本次生产执行调研重点为关节装配、测试及包装，管理对象包括成品及配件需求、生产任务、产线工序、齐套、转运小车、在制品、返修及异常。产品产线相对固定，小车和流转卡承担备料与工序交接，同型号任务在适用产线之间保持一定分配弹性；机加工执行应用列入后续分期。</w:t>
      </w:r>
    </w:p>
    <w:p w14:paraId="0BBA755C">
      <w:r>
        <w:rPr>
          <w:rFonts w:ascii="Arial Unicode MS" w:hAnsi="Arial Unicode MS" w:eastAsia="Arial Unicode MS"/>
          <w:color w:val="000000"/>
        </w:rPr>
        <w:t>现有计划以物料可用和短期工作安排为主，现场按型号数量或载具在制组织派工，并通过人工调整承接欠料和变化。局部工时、岗位产量及工作量参考已经存在，但尚未形成可统一验证的资源日历、型号工时和瓶颈能力基准。建设宜先连接ERP获准任务、物料状态和MES实际进度，形成透明派工与反馈，再评估工序级有限产能排程。</w:t>
      </w:r>
    </w:p>
    <w:p w14:paraId="056F9BF1">
      <w:pPr>
        <w:keepNext/>
        <w:spacing w:after="60" w:line="240" w:lineRule="auto"/>
        <w:jc w:val="center"/>
      </w:pPr>
      <w:r>
        <w:drawing>
          <wp:inline distT="0" distB="0" distL="114300" distR="114300">
            <wp:extent cx="6355080" cy="3177540"/>
            <wp:effectExtent l="0" t="0" r="20320" b="228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3"/>
                    <a:stretch>
                      <a:fillRect/>
                    </a:stretch>
                  </pic:blipFill>
                  <pic:spPr>
                    <a:xfrm>
                      <a:off x="0" y="0"/>
                      <a:ext cx="6355080" cy="3177540"/>
                    </a:xfrm>
                    <a:prstGeom prst="rect">
                      <a:avLst/>
                    </a:prstGeom>
                  </pic:spPr>
                </pic:pic>
              </a:graphicData>
            </a:graphic>
          </wp:inline>
        </w:drawing>
      </w:r>
    </w:p>
    <w:p w14:paraId="6B22E4AE">
      <w:pPr>
        <w:spacing w:after="180"/>
        <w:jc w:val="center"/>
      </w:pPr>
      <w:r>
        <w:rPr>
          <w:rFonts w:ascii="Arial Unicode MS" w:hAnsi="Arial Unicode MS" w:eastAsia="Arial Unicode MS"/>
          <w:color w:val="000000"/>
        </w:rPr>
        <w:t>图6 D05生产派工与在制反馈现状</w:t>
      </w:r>
    </w:p>
    <w:p w14:paraId="4972697F">
      <w:pPr>
        <w:pStyle w:val="5"/>
        <w:pageBreakBefore w:val="0"/>
      </w:pPr>
      <w:r>
        <w:rPr>
          <w:rFonts w:ascii="Arial Unicode MS" w:hAnsi="Arial Unicode MS" w:eastAsia="Arial Unicode MS"/>
          <w:b/>
          <w:color w:val="000000"/>
        </w:rPr>
        <w:t>常规及特殊业务规则</w:t>
      </w:r>
    </w:p>
    <w:p w14:paraId="3969D841">
      <w:r>
        <w:rPr>
          <w:rFonts w:ascii="Arial Unicode MS" w:hAnsi="Arial Unicode MS" w:eastAsia="Arial Unicode MS"/>
          <w:color w:val="000000"/>
        </w:rPr>
        <w:t>计划侧安排销售订单中的成品、编码器及配件等可交付对象，并组织芯片刻字、PCBA贴片、刹车定子组件等委外物料需求。10月23日补充访谈明确，当前所谈二楼烧录、电机、码盘等工作已有ERP工单作为安排前提，文员按型号和数量派至人员，实际工单与小车随备料、开工再关联；不能将早期库存经验安排概括为这些工序的当前统一做法。</w:t>
      </w:r>
    </w:p>
    <w:p w14:paraId="006027C9">
      <w:r>
        <w:rPr>
          <w:rFonts w:ascii="Arial Unicode MS" w:hAnsi="Arial Unicode MS" w:eastAsia="Arial Unicode MS"/>
          <w:color w:val="000000"/>
        </w:rPr>
        <w:t>近期排产仍受齐套和检验可用时间影响，尚无稳定一周冻结计划。二楼文员通常约前一日16时开始编排次日工作，编排约需两小时，结合交付顺序、在岗及岗位能力；欠料或临时支援后可调整实际工作，排班表未持续修订。三楼约16时逐工位核对余量及上游半成品，再结合车号与型号安排，主管据现场在制决定加班。</w:t>
      </w:r>
    </w:p>
    <w:p w14:paraId="3CEE0A77">
      <w:r>
        <w:rPr>
          <w:rFonts w:ascii="Arial Unicode MS" w:hAnsi="Arial Unicode MS" w:eastAsia="Arial Unicode MS"/>
          <w:color w:val="000000"/>
        </w:rPr>
        <w:t>生产已有部分型号工时、岗位日产量和机加工工时参考，检验亦有按物料系数核算标准工作量的做法，但其适用产品、班次时长、人员条件、来源及验证方式不一致。口述某岗位日产量、标准工作量目标和经营入库任务均不能直接作为全厂产能。应复用已有参考，以实际样本分清纯作业、必要等待、资源占用及异常损失，形成可维护的能力基线。</w:t>
      </w:r>
    </w:p>
    <w:p w14:paraId="5107403D">
      <w:r>
        <w:rPr>
          <w:rFonts w:ascii="Arial Unicode MS" w:hAnsi="Arial Unicode MS" w:eastAsia="Arial Unicode MS"/>
          <w:color w:val="000000"/>
        </w:rPr>
        <w:t>单辆小车容量为15台，工单数量、载具装载、工位作业批量和包装套数分别管理。二楼可先派型号和数量，三楼结合载具与在制派工，部分岗位允许按型号取车、交换顺序和跨适用产线接续；不是所有工序均固定逐车或固定人车绑定。系统应保存实际承接、数量与路径，使换车及部分完成不牵动工单、用料和单件履历。</w:t>
      </w:r>
    </w:p>
    <w:p w14:paraId="7DC75743">
      <w:r>
        <w:rPr>
          <w:rFonts w:ascii="Arial Unicode MS" w:hAnsi="Arial Unicode MS" w:eastAsia="Arial Unicode MS"/>
          <w:color w:val="000000"/>
        </w:rPr>
        <w:t>现场以流转卡承接，按交付要求和现场约束调节作业。异常由员工通知主管判定，异常物料或小车作标识搁置，人员可转做其他合资格任务；来料退料、制程报废及补料已有OA/飞书和ERP路径。维修可将同故障的不同型号临时归组甚至同车处理，应逐件保留原来源、换件、复测和恢复状态，不能整车套用同一处置结果。</w:t>
      </w:r>
    </w:p>
    <w:p w14:paraId="77ADA895">
      <w:r>
        <w:rPr>
          <w:rFonts w:ascii="Arial Unicode MS" w:hAnsi="Arial Unicode MS" w:eastAsia="Arial Unicode MS"/>
          <w:color w:val="000000"/>
        </w:rPr>
        <w:t>工艺等待  受访者说明电机胶水存在自然静置等待，烤箱可缩短等待；具体加速条件本次未核定。流转周期由作业、等待和衔接共同组成。建设应引用批准的工艺条件记录起止、放行依据和实际路径，不能将口述单一时长直接设为所有型号定额或交付承诺。</w:t>
      </w:r>
    </w:p>
    <w:p w14:paraId="18EC1CF1">
      <w:r>
        <w:rPr>
          <w:rFonts w:ascii="Arial Unicode MS" w:hAnsi="Arial Unicode MS" w:eastAsia="Arial Unicode MS"/>
          <w:color w:val="000000"/>
        </w:rPr>
        <w:t>组织与单据  生产单据存在云控、运控及委托关系差异，受访者分别列举机加工、PCBA转测与模组/组件业务。委托组织、生产组织和入库去向须按任务分别关联，不能由工厂名称或开单组织推定全部事务。PCBA委外返回按测试前料号接收，检验合格入库后以生产任务单转为测试后料号，所述转换未增加物理作业；现行BOM使用测试后料号，应保留转换映射并由ERP及工程主责治理。</w:t>
      </w:r>
    </w:p>
    <w:p w14:paraId="70420A54">
      <w:pPr>
        <w:pStyle w:val="5"/>
        <w:pageBreakBefore w:val="0"/>
      </w:pPr>
      <w:r>
        <w:rPr>
          <w:rFonts w:ascii="Arial Unicode MS" w:hAnsi="Arial Unicode MS" w:eastAsia="Arial Unicode MS"/>
          <w:b/>
          <w:color w:val="000000"/>
        </w:rPr>
        <w:t>系统与数字化现状</w:t>
      </w:r>
    </w:p>
    <w:p w14:paraId="2386C909">
      <w:r>
        <w:rPr>
          <w:rFonts w:ascii="Arial Unicode MS" w:hAnsi="Arial Unicode MS" w:eastAsia="Arial Unicode MS"/>
          <w:color w:val="000000"/>
        </w:rPr>
        <w:t>排产依赖合并订单表、排单记录表和排产计划表，以及两个自定义程序；程序已通过ERP接口读取BOM和库存。ERP的MPS/MRP完成过核心逻辑测试，订单合并和预留逻辑具有承接现有操作的基础，但截至计划访谈时尚未正式用于生产。MPS应用应优先前移，与新MES建设协同。</w:t>
      </w:r>
    </w:p>
    <w:p w14:paraId="53D5A4B2">
      <w:r>
        <w:rPr>
          <w:rFonts w:ascii="Arial Unicode MS" w:hAnsi="Arial Unicode MS" w:eastAsia="Arial Unicode MS"/>
          <w:color w:val="000000"/>
        </w:rPr>
        <w:t>旧MES已有扫码、车号查询和工序结果记录，纸质流转卡仍是现场主要依据，部分报工批次补录，现有车号与工序信息未被稳定用于派工。三楼仍需现场盘余量，二楼未排及未完任务另记，计划、现场和仓储难共享一致的剩余工作与实际位置。个别文员已使用AI对技能信息和订单截图作数量粗排，再由人员修订；属于局部辅助实践，尚非APS或自动派工闭环。</w:t>
      </w:r>
    </w:p>
    <w:p w14:paraId="6CAEF459">
      <w:r>
        <w:rPr>
          <w:rFonts w:ascii="Arial Unicode MS" w:hAnsi="Arial Unicode MS" w:eastAsia="Arial Unicode MS"/>
          <w:color w:val="000000"/>
        </w:rPr>
        <w:t>重复录入与日期  现场新工单所需版本由ERP工单人工复制，再在打印流转卡前核对，明确提出自动带出需求。部分日期随做单日默认，计划完工参考上游交付要求，无销售订单来源时依赖手工维护；日期不当会影响急缓判断。工单版本与实际软件版本、计划日期与实际开完工事件应分别保存。</w:t>
      </w:r>
    </w:p>
    <w:p w14:paraId="264CF76F">
      <w:r>
        <w:rPr>
          <w:rFonts w:ascii="Arial Unicode MS" w:hAnsi="Arial Unicode MS" w:eastAsia="Arial Unicode MS"/>
          <w:color w:val="000000"/>
        </w:rPr>
        <w:t>机加工受访业务  工单可预排多日量并提前衔接下一单，产品切换经管理人员协调。现场反馈余量及完成数，文员登记生产汇报；通常按周组织打标及集中送检，品质完成后下推入库，数据登记可能次日才完成。应区分实际完成、登记、送检、判定及入库，不能由集中送检推定固定入库周期或把多日工单视为超产。</w:t>
      </w:r>
    </w:p>
    <w:p w14:paraId="0C37EE99">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325"/>
        <w:gridCol w:w="4853"/>
        <w:gridCol w:w="3902"/>
      </w:tblGrid>
      <w:tr w14:paraId="3AD2C19D">
        <w:trPr>
          <w:cantSplit/>
          <w:tblHeader/>
          <w:jc w:val="center"/>
        </w:trPr>
        <w:tc>
          <w:tcPr>
            <w:tcW w:w="1325" w:type="dxa"/>
            <w:shd w:val="clear" w:color="auto" w:fill="234A68"/>
            <w:vAlign w:val="center"/>
          </w:tcPr>
          <w:p w14:paraId="0265DA9E">
            <w:pPr>
              <w:keepNext/>
              <w:spacing w:before="40" w:after="40" w:line="28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41345865">
            <w:pPr>
              <w:keepNext/>
              <w:spacing w:before="40" w:after="40" w:line="280" w:lineRule="exact"/>
              <w:jc w:val="center"/>
            </w:pPr>
            <w:r>
              <w:rPr>
                <w:rFonts w:ascii="Arial Unicode MS" w:hAnsi="Arial Unicode MS" w:eastAsia="Arial Unicode MS"/>
                <w:b/>
                <w:color w:val="FFFFFF"/>
                <w:sz w:val="20"/>
              </w:rPr>
              <w:t>问题</w:t>
            </w:r>
          </w:p>
        </w:tc>
        <w:tc>
          <w:tcPr>
            <w:tcW w:w="3902" w:type="dxa"/>
            <w:shd w:val="clear" w:color="auto" w:fill="234A68"/>
            <w:vAlign w:val="center"/>
          </w:tcPr>
          <w:p w14:paraId="4B1E5A55">
            <w:pPr>
              <w:keepNext/>
              <w:spacing w:before="40" w:after="40" w:line="280" w:lineRule="exact"/>
              <w:jc w:val="center"/>
            </w:pPr>
            <w:r>
              <w:rPr>
                <w:rFonts w:ascii="Arial Unicode MS" w:hAnsi="Arial Unicode MS" w:eastAsia="Arial Unicode MS"/>
                <w:b/>
                <w:color w:val="FFFFFF"/>
                <w:sz w:val="20"/>
              </w:rPr>
              <w:t>业务影响</w:t>
            </w:r>
          </w:p>
        </w:tc>
      </w:tr>
      <w:tr w14:paraId="39B5B9B0">
        <w:trPr>
          <w:cantSplit/>
          <w:jc w:val="center"/>
        </w:trPr>
        <w:tc>
          <w:tcPr>
            <w:tcW w:w="1325" w:type="dxa"/>
            <w:vAlign w:val="center"/>
          </w:tcPr>
          <w:p w14:paraId="1D81920B">
            <w:pPr>
              <w:spacing w:before="40" w:after="40" w:line="280" w:lineRule="exact"/>
              <w:jc w:val="center"/>
            </w:pPr>
            <w:r>
              <w:rPr>
                <w:rFonts w:ascii="Arial Unicode MS" w:hAnsi="Arial Unicode MS" w:eastAsia="Arial Unicode MS"/>
                <w:b w:val="0"/>
                <w:color w:val="000000"/>
                <w:sz w:val="20"/>
              </w:rPr>
              <w:t>D05-P01</w:t>
            </w:r>
          </w:p>
        </w:tc>
        <w:tc>
          <w:tcPr>
            <w:tcW w:w="4853" w:type="dxa"/>
            <w:vAlign w:val="center"/>
          </w:tcPr>
          <w:p w14:paraId="7C409594">
            <w:pPr>
              <w:spacing w:before="40" w:after="40" w:line="280" w:lineRule="exact"/>
            </w:pPr>
            <w:r>
              <w:rPr>
                <w:rFonts w:ascii="Arial Unicode MS" w:hAnsi="Arial Unicode MS" w:eastAsia="Arial Unicode MS"/>
                <w:b w:val="0"/>
                <w:color w:val="000000"/>
                <w:sz w:val="20"/>
              </w:rPr>
              <w:t>已有局部工时与产量参考，但物料可用、分型号负荷、班次时长和在制尚无统一可验证基准。</w:t>
            </w:r>
          </w:p>
        </w:tc>
        <w:tc>
          <w:tcPr>
            <w:tcW w:w="3902" w:type="dxa"/>
            <w:vAlign w:val="center"/>
          </w:tcPr>
          <w:p w14:paraId="2579A6E9">
            <w:pPr>
              <w:spacing w:before="40" w:after="40" w:line="280" w:lineRule="exact"/>
            </w:pPr>
            <w:r>
              <w:rPr>
                <w:rFonts w:ascii="Arial Unicode MS" w:hAnsi="Arial Unicode MS" w:eastAsia="Arial Unicode MS"/>
                <w:b w:val="0"/>
                <w:color w:val="000000"/>
                <w:sz w:val="20"/>
              </w:rPr>
              <w:t>任务均衡、人员准备和交付风险预警不足。</w:t>
            </w:r>
          </w:p>
        </w:tc>
      </w:tr>
      <w:tr w14:paraId="21B8C105">
        <w:trPr>
          <w:cantSplit/>
          <w:jc w:val="center"/>
        </w:trPr>
        <w:tc>
          <w:tcPr>
            <w:tcW w:w="1325" w:type="dxa"/>
            <w:shd w:val="clear" w:color="auto" w:fill="F1F5F8"/>
            <w:vAlign w:val="center"/>
          </w:tcPr>
          <w:p w14:paraId="77F063BE">
            <w:pPr>
              <w:spacing w:before="40" w:after="40" w:line="280" w:lineRule="exact"/>
              <w:jc w:val="center"/>
            </w:pPr>
            <w:r>
              <w:rPr>
                <w:rFonts w:ascii="Arial Unicode MS" w:hAnsi="Arial Unicode MS" w:eastAsia="Arial Unicode MS"/>
                <w:b w:val="0"/>
                <w:color w:val="000000"/>
                <w:sz w:val="20"/>
              </w:rPr>
              <w:t>D05-P02</w:t>
            </w:r>
          </w:p>
        </w:tc>
        <w:tc>
          <w:tcPr>
            <w:tcW w:w="4853" w:type="dxa"/>
            <w:shd w:val="clear" w:color="auto" w:fill="F1F5F8"/>
            <w:vAlign w:val="center"/>
          </w:tcPr>
          <w:p w14:paraId="0D1C06BC">
            <w:pPr>
              <w:spacing w:before="40" w:after="40" w:line="280" w:lineRule="exact"/>
            </w:pPr>
            <w:r>
              <w:rPr>
                <w:rFonts w:ascii="Arial Unicode MS" w:hAnsi="Arial Unicode MS" w:eastAsia="Arial Unicode MS"/>
                <w:b w:val="0"/>
                <w:color w:val="000000"/>
                <w:sz w:val="20"/>
              </w:rPr>
              <w:t>多表和外挂承担ERP标准计划逻辑，小车批次又牵动工单拆分。</w:t>
            </w:r>
          </w:p>
        </w:tc>
        <w:tc>
          <w:tcPr>
            <w:tcW w:w="3902" w:type="dxa"/>
            <w:shd w:val="clear" w:color="auto" w:fill="F1F5F8"/>
            <w:vAlign w:val="center"/>
          </w:tcPr>
          <w:p w14:paraId="62D8EA4A">
            <w:pPr>
              <w:spacing w:before="40" w:after="40" w:line="280" w:lineRule="exact"/>
            </w:pPr>
            <w:r>
              <w:rPr>
                <w:rFonts w:ascii="Arial Unicode MS" w:hAnsi="Arial Unicode MS" w:eastAsia="Arial Unicode MS"/>
                <w:b w:val="0"/>
                <w:color w:val="000000"/>
                <w:sz w:val="20"/>
              </w:rPr>
              <w:t>重复下推、维护工作量和单据数量偏大，规则变化影响链路。</w:t>
            </w:r>
          </w:p>
        </w:tc>
      </w:tr>
      <w:tr w14:paraId="435F8938">
        <w:trPr>
          <w:cantSplit/>
          <w:jc w:val="center"/>
        </w:trPr>
        <w:tc>
          <w:tcPr>
            <w:tcW w:w="1325" w:type="dxa"/>
            <w:vAlign w:val="center"/>
          </w:tcPr>
          <w:p w14:paraId="1E7D5914">
            <w:pPr>
              <w:spacing w:before="40" w:after="40" w:line="280" w:lineRule="exact"/>
              <w:jc w:val="center"/>
            </w:pPr>
            <w:r>
              <w:rPr>
                <w:rFonts w:ascii="Arial Unicode MS" w:hAnsi="Arial Unicode MS" w:eastAsia="Arial Unicode MS"/>
                <w:b w:val="0"/>
                <w:color w:val="000000"/>
                <w:sz w:val="20"/>
              </w:rPr>
              <w:t>D05-P03</w:t>
            </w:r>
          </w:p>
        </w:tc>
        <w:tc>
          <w:tcPr>
            <w:tcW w:w="4853" w:type="dxa"/>
            <w:vAlign w:val="center"/>
          </w:tcPr>
          <w:p w14:paraId="08800D3B">
            <w:pPr>
              <w:spacing w:before="40" w:after="40" w:line="280" w:lineRule="exact"/>
            </w:pPr>
            <w:r>
              <w:rPr>
                <w:rFonts w:ascii="Arial Unicode MS" w:hAnsi="Arial Unicode MS" w:eastAsia="Arial Unicode MS"/>
                <w:b w:val="0"/>
                <w:color w:val="000000"/>
                <w:sz w:val="20"/>
              </w:rPr>
              <w:t>载具位置、部分完成及实际调整未形成可信在制视图，派工和加班仍依赖现场盘点。</w:t>
            </w:r>
          </w:p>
        </w:tc>
        <w:tc>
          <w:tcPr>
            <w:tcW w:w="3902" w:type="dxa"/>
            <w:vAlign w:val="center"/>
          </w:tcPr>
          <w:p w14:paraId="031D5ECD">
            <w:pPr>
              <w:spacing w:before="40" w:after="40" w:line="280" w:lineRule="exact"/>
            </w:pPr>
            <w:r>
              <w:rPr>
                <w:rFonts w:ascii="Arial Unicode MS" w:hAnsi="Arial Unicode MS" w:eastAsia="Arial Unicode MS"/>
                <w:b w:val="0"/>
                <w:color w:val="000000"/>
                <w:sz w:val="20"/>
              </w:rPr>
              <w:t>剩余任务、跨工序准备与原计划/实际对账滞后，文员重复收集信息。</w:t>
            </w:r>
          </w:p>
        </w:tc>
      </w:tr>
      <w:tr w14:paraId="3F4F46EE">
        <w:trPr>
          <w:cantSplit/>
          <w:jc w:val="center"/>
        </w:trPr>
        <w:tc>
          <w:tcPr>
            <w:tcW w:w="1325" w:type="dxa"/>
            <w:shd w:val="clear" w:color="auto" w:fill="F1F5F8"/>
            <w:vAlign w:val="center"/>
          </w:tcPr>
          <w:p w14:paraId="0B885D3C">
            <w:pPr>
              <w:spacing w:before="40" w:after="40" w:line="280" w:lineRule="exact"/>
              <w:jc w:val="center"/>
            </w:pPr>
            <w:r>
              <w:rPr>
                <w:rFonts w:ascii="Arial Unicode MS" w:hAnsi="Arial Unicode MS" w:eastAsia="Arial Unicode MS"/>
                <w:b w:val="0"/>
                <w:color w:val="000000"/>
                <w:sz w:val="20"/>
              </w:rPr>
              <w:t>D05-P04</w:t>
            </w:r>
          </w:p>
        </w:tc>
        <w:tc>
          <w:tcPr>
            <w:tcW w:w="4853" w:type="dxa"/>
            <w:shd w:val="clear" w:color="auto" w:fill="F1F5F8"/>
            <w:vAlign w:val="center"/>
          </w:tcPr>
          <w:p w14:paraId="1E9FBE77">
            <w:pPr>
              <w:spacing w:before="40" w:after="40" w:line="280" w:lineRule="exact"/>
            </w:pPr>
            <w:r>
              <w:rPr>
                <w:rFonts w:ascii="Arial Unicode MS" w:hAnsi="Arial Unicode MS" w:eastAsia="Arial Unicode MS"/>
                <w:b w:val="0"/>
                <w:color w:val="000000"/>
                <w:sz w:val="20"/>
              </w:rPr>
              <w:t>异常入口、责任通知和受影响任务控制未与后续处理流程贯通。</w:t>
            </w:r>
          </w:p>
        </w:tc>
        <w:tc>
          <w:tcPr>
            <w:tcW w:w="3902" w:type="dxa"/>
            <w:shd w:val="clear" w:color="auto" w:fill="F1F5F8"/>
            <w:vAlign w:val="center"/>
          </w:tcPr>
          <w:p w14:paraId="2D89BB18">
            <w:pPr>
              <w:spacing w:before="40" w:after="40" w:line="280" w:lineRule="exact"/>
            </w:pPr>
            <w:r>
              <w:rPr>
                <w:rFonts w:ascii="Arial Unicode MS" w:hAnsi="Arial Unicode MS" w:eastAsia="Arial Unicode MS"/>
                <w:b w:val="0"/>
                <w:color w:val="000000"/>
                <w:sz w:val="20"/>
              </w:rPr>
              <w:t>工程支持依赖人工寻找，异常小车和返修任务难以持续跟踪。</w:t>
            </w:r>
          </w:p>
        </w:tc>
      </w:tr>
    </w:tbl>
    <w:p w14:paraId="2A86E928">
      <w:pPr>
        <w:spacing w:before="20" w:after="20" w:line="120" w:lineRule="auto"/>
      </w:pPr>
    </w:p>
    <w:p w14:paraId="11331DE1">
      <w:pPr>
        <w:pStyle w:val="4"/>
        <w:pageBreakBefore w:val="0"/>
      </w:pPr>
      <w:bookmarkStart w:id="8" w:name="topic_D06"/>
      <w:r>
        <w:rPr>
          <w:rFonts w:ascii="Arial Unicode MS" w:hAnsi="Arial Unicode MS" w:eastAsia="Arial Unicode MS"/>
          <w:b/>
          <w:color w:val="000000"/>
        </w:rPr>
        <w:t>专题D06 采购 物料与仓储物流</w:t>
      </w:r>
      <w:bookmarkEnd w:id="8"/>
    </w:p>
    <w:p w14:paraId="0457EEE7">
      <w:pPr>
        <w:keepNext/>
      </w:pPr>
      <w:r>
        <w:rPr>
          <w:rFonts w:ascii="Arial Unicode MS" w:hAnsi="Arial Unicode MS" w:eastAsia="Arial Unicode MS"/>
          <w:color w:val="000000"/>
        </w:rPr>
        <w:t>业务协作责任位 AR51、AR54、AR53、AR56、AR6、AR2、AR1、AR4；NPI职能归入AR56</w:t>
      </w:r>
    </w:p>
    <w:p w14:paraId="55B50902">
      <w:pPr>
        <w:keepNext/>
      </w:pPr>
      <w:r>
        <w:rPr>
          <w:rFonts w:ascii="Arial Unicode MS" w:hAnsi="Arial Unicode MS" w:eastAsia="Arial Unicode MS"/>
          <w:color w:val="000000"/>
        </w:rPr>
        <w:t>资料来源 S01 S10 S10T S11 S16 S18 S18T S19 S19T S20 S20T S21 S21T</w:t>
      </w:r>
    </w:p>
    <w:p w14:paraId="494E6B33">
      <w:pPr>
        <w:pStyle w:val="5"/>
        <w:pageBreakBefore w:val="0"/>
      </w:pPr>
      <w:r>
        <w:rPr>
          <w:rFonts w:ascii="Arial Unicode MS" w:hAnsi="Arial Unicode MS" w:eastAsia="Arial Unicode MS"/>
          <w:b/>
          <w:color w:val="000000"/>
        </w:rPr>
        <w:t>业务对象与运行结论</w:t>
      </w:r>
    </w:p>
    <w:p w14:paraId="3CD874C0">
      <w:r>
        <w:rPr>
          <w:rFonts w:ascii="Arial Unicode MS" w:hAnsi="Arial Unicode MS" w:eastAsia="Arial Unicode MS"/>
          <w:color w:val="000000"/>
        </w:rPr>
        <w:t>管理对象覆盖结构料、组件、电子料、辅料和成品，以及委外仓物料、待检/合格/不合格区、供应商备品和包装配置。物料存在整包整卷采购、部分组件成套采购、称重计数、裁剪和采购/使用单位不同等特征。现有库存管理以ERP收发存账务、纸质单据和实物物料卡为基础，实物位置及执行状态的数字化程度较低。</w:t>
      </w:r>
    </w:p>
    <w:p w14:paraId="63CD96FF">
      <w:r>
        <w:rPr>
          <w:rFonts w:ascii="Arial Unicode MS" w:hAnsi="Arial Unicode MS" w:eastAsia="Arial Unicode MS"/>
          <w:color w:val="000000"/>
        </w:rPr>
        <w:t>仓储核心问题是业务状态和实物交接与账务节点不一致，并叠加特殊物料规则、料号生命周期和空间管理不足，不能归结为单纯缺少WMS。近期应优先统一收料、检验、实物入库、领退料和包装交接规则，治理账外备品、电池及辅料差异，并共享生产和发货计划。完整WMS与物流自动化应结合储位、条码、场地及管理基础分阶段部署。</w:t>
      </w:r>
    </w:p>
    <w:p w14:paraId="2764CA2C">
      <w:pPr>
        <w:keepNext/>
        <w:spacing w:after="60" w:line="240" w:lineRule="auto"/>
        <w:jc w:val="center"/>
      </w:pPr>
      <w:r>
        <w:drawing>
          <wp:inline distT="0" distB="0" distL="114300" distR="114300">
            <wp:extent cx="6400800" cy="1410970"/>
            <wp:effectExtent l="0" t="0" r="0" b="11430"/>
            <wp:docPr id="7" name="Picture 7" descr="图7 D06业务流程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图7 D06业务流程概述"/>
                    <pic:cNvPicPr>
                      <a:picLocks noChangeAspect="1"/>
                    </pic:cNvPicPr>
                  </pic:nvPicPr>
                  <pic:blipFill>
                    <a:blip r:embed="rId14"/>
                    <a:stretch>
                      <a:fillRect/>
                    </a:stretch>
                  </pic:blipFill>
                  <pic:spPr>
                    <a:xfrm>
                      <a:off x="0" y="0"/>
                      <a:ext cx="6400800" cy="1411085"/>
                    </a:xfrm>
                    <a:prstGeom prst="rect">
                      <a:avLst/>
                    </a:prstGeom>
                  </pic:spPr>
                </pic:pic>
              </a:graphicData>
            </a:graphic>
          </wp:inline>
        </w:drawing>
      </w:r>
    </w:p>
    <w:p w14:paraId="366F2905">
      <w:pPr>
        <w:spacing w:after="180"/>
        <w:jc w:val="center"/>
      </w:pPr>
      <w:r>
        <w:rPr>
          <w:rFonts w:ascii="Arial Unicode MS" w:hAnsi="Arial Unicode MS" w:eastAsia="Arial Unicode MS"/>
          <w:color w:val="000000"/>
          <w:sz w:val="20"/>
        </w:rPr>
        <w:t>图7 D06业务流程概述</w:t>
      </w:r>
    </w:p>
    <w:p w14:paraId="174B67F7">
      <w:pPr>
        <w:pStyle w:val="5"/>
        <w:pageBreakBefore w:val="0"/>
      </w:pPr>
      <w:r>
        <w:rPr>
          <w:rFonts w:ascii="Arial Unicode MS" w:hAnsi="Arial Unicode MS" w:eastAsia="Arial Unicode MS"/>
          <w:b/>
          <w:color w:val="000000"/>
        </w:rPr>
        <w:t>常规及特殊业务规则</w:t>
      </w:r>
    </w:p>
    <w:p w14:paraId="26DD6C4A">
      <w:r>
        <w:rPr>
          <w:rFonts w:ascii="Arial Unicode MS" w:hAnsi="Arial Unicode MS" w:eastAsia="Arial Unicode MS"/>
          <w:color w:val="000000"/>
        </w:rPr>
        <w:t>常规收货核对供应商单据、数量和大致外观，采购订单可分批到货。超订单数量由AR54确认补单、调整或备品处理；确认为备品的实物检验合格后保存，但目前不计入正常系统数量。外包装纸箱拆除后转小车，原则上一车一料号；部分组件存在成套到货和用料，采购包装与库存计量分别管理。</w:t>
      </w:r>
    </w:p>
    <w:p w14:paraId="161E460B">
      <w:r>
        <w:rPr>
          <w:rFonts w:ascii="Arial Unicode MS" w:hAnsi="Arial Unicode MS" w:eastAsia="Arial Unicode MS"/>
          <w:color w:val="000000"/>
        </w:rPr>
        <w:t>收料通知单和检验结果由ERP单据承接，异常接收通过OA审批决定，AR53依据结果执行采购入库或退料。大件放公共待检区，小件送对应检验工位，合格、不合格和退货实物分区。多数盘装电子料直接收存，少量电子料需检验，委外贴片厂承担相关来料检查，不能概括为所有物料统一全检。</w:t>
      </w:r>
    </w:p>
    <w:p w14:paraId="2D8978E9">
      <w:r>
        <w:rPr>
          <w:rFonts w:ascii="Arial Unicode MS" w:hAnsi="Arial Unicode MS" w:eastAsia="Arial Unicode MS"/>
          <w:color w:val="000000"/>
        </w:rPr>
        <w:t>委外发料先手工交接，供应商确认后以ERP调拨转入委外仓。回货前完成委外领料；受访实例中存在委外成品分批回货前对对应订单全量领料扣账的做法，未回数量由订单欠交反映。该处理不能代表供应商已实际消耗全部材料，后续应区分发出、消耗、未回产品及余料。</w:t>
      </w:r>
    </w:p>
    <w:p w14:paraId="61A70A8C">
      <w:r>
        <w:rPr>
          <w:rFonts w:ascii="Arial Unicode MS" w:hAnsi="Arial Unicode MS" w:eastAsia="Arial Unicode MS"/>
          <w:color w:val="000000"/>
        </w:rPr>
        <w:t>生产结构料由仓管按领料单备小车，当前无线边仓。BOM内部分包材先随工单出账，实物留在包装区域后续取用；BOM外辅料还存在自行取用后定期出账。客户不含电池时已领电池未退回系统，均导致库存时点差异。三楼成品检验结束即在ERP生产入库，包装完成后才由成品仓凭单收取实物，账务与收库存在时间差。</w:t>
      </w:r>
    </w:p>
    <w:p w14:paraId="2D6FA40A">
      <w:r>
        <w:rPr>
          <w:rFonts w:ascii="Arial Unicode MS" w:hAnsi="Arial Unicode MS" w:eastAsia="Arial Unicode MS"/>
          <w:color w:val="000000"/>
        </w:rPr>
        <w:t>螺丝整包采购，称重折算数量后按五套的最小配送包装发到工位；电子料整盘领用，线材可整卷采购后裁剪。胶水整瓶发放，部分单位换算类辅料已移出BOM。五套包装与单辆小车15台容量属于不同对象。新旧料自然切换与尾料使用需衔接批准适用性和实际领用记录。</w:t>
      </w:r>
    </w:p>
    <w:p w14:paraId="03C67133">
      <w:r>
        <w:rPr>
          <w:rFonts w:ascii="Arial Unicode MS" w:hAnsi="Arial Unicode MS" w:eastAsia="Arial Unicode MS"/>
          <w:color w:val="000000"/>
        </w:rPr>
        <w:t>短缺与返检  补充访谈反映所谈情形下库存不足仍可创建领料单，现场希望提前提示可用量及预留；该反馈不能证明已实际负库存，ERP校验配置应由库存及系统主责核查。返检场景需把合格、不良、待处置和可用数量分开，不良判定不直接等于报废，审批、实物处置和账务结果各有完成节点。</w:t>
      </w:r>
    </w:p>
    <w:p w14:paraId="1F36DBC7">
      <w:pPr>
        <w:pStyle w:val="5"/>
        <w:pageBreakBefore w:val="0"/>
      </w:pPr>
      <w:r>
        <w:rPr>
          <w:rFonts w:ascii="Arial Unicode MS" w:hAnsi="Arial Unicode MS" w:eastAsia="Arial Unicode MS"/>
          <w:b/>
          <w:color w:val="000000"/>
        </w:rPr>
        <w:t>系统与数字化现状</w:t>
      </w:r>
    </w:p>
    <w:p w14:paraId="022AEC50">
      <w:r>
        <w:rPr>
          <w:rFonts w:ascii="Arial Unicode MS" w:hAnsi="Arial Unicode MS" w:eastAsia="Arial Unicode MS"/>
          <w:color w:val="000000"/>
        </w:rPr>
        <w:t>仓库以ERP单据、物料卡、纸质交接和到货日期标签管理，库位主要按大类或型号线下约定，先进先出靠人工。采购到货计划、生产计划和出货顺序未充分传到仓库，成品库希望按出货时间灵活安排储位。成品实际收库、包装完成、待发及快递取货缺少独立执行状态。</w:t>
      </w:r>
    </w:p>
    <w:p w14:paraId="2CBFB8AB">
      <w:r>
        <w:rPr>
          <w:rFonts w:ascii="Arial Unicode MS" w:hAnsi="Arial Unicode MS" w:eastAsia="Arial Unicode MS"/>
          <w:color w:val="000000"/>
        </w:rPr>
        <w:t>电子仓已有空调和除湿、部分胶水冷藏，但效期控制薄弱，成品库湿度影响长期存放包材。AR4组织指定料号抽盘及审批调账，未形成仓库持续使用的库龄、周转和空间占用分析。场地拥挤限制固定储位及自动化作业，应同步推动库存结构治理与空间改善。</w:t>
      </w:r>
    </w:p>
    <w:p w14:paraId="33168B08">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325"/>
        <w:gridCol w:w="4853"/>
        <w:gridCol w:w="3902"/>
      </w:tblGrid>
      <w:tr w14:paraId="6F5C0AFB">
        <w:trPr>
          <w:cantSplit/>
          <w:tblHeader/>
          <w:jc w:val="center"/>
        </w:trPr>
        <w:tc>
          <w:tcPr>
            <w:tcW w:w="1325" w:type="dxa"/>
            <w:shd w:val="clear" w:color="auto" w:fill="234A68"/>
            <w:vAlign w:val="center"/>
          </w:tcPr>
          <w:p w14:paraId="27640AC3">
            <w:pPr>
              <w:keepNext/>
              <w:spacing w:before="30" w:after="30" w:line="29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1A2745BA">
            <w:pPr>
              <w:keepNext/>
              <w:spacing w:before="30" w:after="30" w:line="290" w:lineRule="exact"/>
            </w:pPr>
            <w:r>
              <w:rPr>
                <w:rFonts w:ascii="Arial Unicode MS" w:hAnsi="Arial Unicode MS" w:eastAsia="Arial Unicode MS"/>
                <w:b/>
                <w:color w:val="FFFFFF"/>
                <w:sz w:val="20"/>
              </w:rPr>
              <w:t>问题</w:t>
            </w:r>
          </w:p>
        </w:tc>
        <w:tc>
          <w:tcPr>
            <w:tcW w:w="3902" w:type="dxa"/>
            <w:shd w:val="clear" w:color="auto" w:fill="234A68"/>
            <w:vAlign w:val="center"/>
          </w:tcPr>
          <w:p w14:paraId="3CD0CFC6">
            <w:pPr>
              <w:keepNext/>
              <w:spacing w:before="30" w:after="30" w:line="290" w:lineRule="exact"/>
            </w:pPr>
            <w:r>
              <w:rPr>
                <w:rFonts w:ascii="Arial Unicode MS" w:hAnsi="Arial Unicode MS" w:eastAsia="Arial Unicode MS"/>
                <w:b/>
                <w:color w:val="FFFFFF"/>
                <w:sz w:val="20"/>
              </w:rPr>
              <w:t>业务影响</w:t>
            </w:r>
          </w:p>
        </w:tc>
      </w:tr>
      <w:tr w14:paraId="16042AC6">
        <w:trPr>
          <w:cantSplit/>
          <w:jc w:val="center"/>
        </w:trPr>
        <w:tc>
          <w:tcPr>
            <w:tcW w:w="1325" w:type="dxa"/>
            <w:vAlign w:val="center"/>
          </w:tcPr>
          <w:p w14:paraId="451AB4D2">
            <w:pPr>
              <w:spacing w:before="30" w:after="30" w:line="290" w:lineRule="exact"/>
              <w:jc w:val="center"/>
            </w:pPr>
            <w:r>
              <w:rPr>
                <w:rFonts w:ascii="Arial Unicode MS" w:hAnsi="Arial Unicode MS" w:eastAsia="Arial Unicode MS"/>
                <w:b w:val="0"/>
                <w:color w:val="000000"/>
                <w:sz w:val="20"/>
              </w:rPr>
              <w:t>D06-P01</w:t>
            </w:r>
          </w:p>
        </w:tc>
        <w:tc>
          <w:tcPr>
            <w:tcW w:w="4853" w:type="dxa"/>
            <w:vAlign w:val="center"/>
          </w:tcPr>
          <w:p w14:paraId="1A9D8DA5">
            <w:pPr>
              <w:spacing w:before="30" w:after="30" w:line="290" w:lineRule="exact"/>
            </w:pPr>
            <w:r>
              <w:rPr>
                <w:rFonts w:ascii="Arial Unicode MS" w:hAnsi="Arial Unicode MS" w:eastAsia="Arial Unicode MS"/>
                <w:b w:val="0"/>
                <w:color w:val="000000"/>
                <w:sz w:val="20"/>
              </w:rPr>
              <w:t>ERP生产入库、销售出库审核与实际包装、收库及发运节点不一致。</w:t>
            </w:r>
          </w:p>
        </w:tc>
        <w:tc>
          <w:tcPr>
            <w:tcW w:w="3902" w:type="dxa"/>
            <w:vAlign w:val="center"/>
          </w:tcPr>
          <w:p w14:paraId="2978158A">
            <w:pPr>
              <w:spacing w:before="30" w:after="30" w:line="290" w:lineRule="exact"/>
            </w:pPr>
            <w:r>
              <w:rPr>
                <w:rFonts w:ascii="Arial Unicode MS" w:hAnsi="Arial Unicode MS" w:eastAsia="Arial Unicode MS"/>
                <w:b w:val="0"/>
                <w:color w:val="000000"/>
                <w:sz w:val="20"/>
              </w:rPr>
              <w:t>账面可用成品和实物交付状态易被混淆。</w:t>
            </w:r>
          </w:p>
        </w:tc>
      </w:tr>
      <w:tr w14:paraId="058ABD46">
        <w:trPr>
          <w:cantSplit/>
          <w:jc w:val="center"/>
        </w:trPr>
        <w:tc>
          <w:tcPr>
            <w:tcW w:w="1325" w:type="dxa"/>
            <w:shd w:val="clear" w:color="auto" w:fill="F1F5F8"/>
            <w:vAlign w:val="center"/>
          </w:tcPr>
          <w:p w14:paraId="722B51CE">
            <w:pPr>
              <w:spacing w:before="30" w:after="30" w:line="290" w:lineRule="exact"/>
              <w:jc w:val="center"/>
            </w:pPr>
            <w:r>
              <w:rPr>
                <w:rFonts w:ascii="Arial Unicode MS" w:hAnsi="Arial Unicode MS" w:eastAsia="Arial Unicode MS"/>
                <w:b w:val="0"/>
                <w:color w:val="000000"/>
                <w:sz w:val="20"/>
              </w:rPr>
              <w:t>D06-P02</w:t>
            </w:r>
          </w:p>
        </w:tc>
        <w:tc>
          <w:tcPr>
            <w:tcW w:w="4853" w:type="dxa"/>
            <w:shd w:val="clear" w:color="auto" w:fill="F1F5F8"/>
            <w:vAlign w:val="center"/>
          </w:tcPr>
          <w:p w14:paraId="7A51EDF4">
            <w:pPr>
              <w:spacing w:before="30" w:after="30" w:line="290" w:lineRule="exact"/>
            </w:pPr>
            <w:r>
              <w:rPr>
                <w:rFonts w:ascii="Arial Unicode MS" w:hAnsi="Arial Unicode MS" w:eastAsia="Arial Unicode MS"/>
                <w:b w:val="0"/>
                <w:color w:val="000000"/>
                <w:sz w:val="20"/>
              </w:rPr>
              <w:t>账外备品、先出账包材、滞后出账辅料及不退账电池形成多类差异。</w:t>
            </w:r>
          </w:p>
        </w:tc>
        <w:tc>
          <w:tcPr>
            <w:tcW w:w="3902" w:type="dxa"/>
            <w:shd w:val="clear" w:color="auto" w:fill="F1F5F8"/>
            <w:vAlign w:val="center"/>
          </w:tcPr>
          <w:p w14:paraId="6B83816C">
            <w:pPr>
              <w:spacing w:before="30" w:after="30" w:line="290" w:lineRule="exact"/>
            </w:pPr>
            <w:r>
              <w:rPr>
                <w:rFonts w:ascii="Arial Unicode MS" w:hAnsi="Arial Unicode MS" w:eastAsia="Arial Unicode MS"/>
                <w:b w:val="0"/>
                <w:color w:val="000000"/>
                <w:sz w:val="20"/>
              </w:rPr>
              <w:t>库存准确性和齐套判断基础受损，扫码部署难以直接形成闭环。</w:t>
            </w:r>
          </w:p>
        </w:tc>
      </w:tr>
      <w:tr w14:paraId="39962724">
        <w:trPr>
          <w:cantSplit/>
          <w:jc w:val="center"/>
        </w:trPr>
        <w:tc>
          <w:tcPr>
            <w:tcW w:w="1325" w:type="dxa"/>
            <w:vAlign w:val="center"/>
          </w:tcPr>
          <w:p w14:paraId="76D07E77">
            <w:pPr>
              <w:spacing w:before="30" w:after="30" w:line="290" w:lineRule="exact"/>
              <w:jc w:val="center"/>
            </w:pPr>
            <w:r>
              <w:rPr>
                <w:rFonts w:ascii="Arial Unicode MS" w:hAnsi="Arial Unicode MS" w:eastAsia="Arial Unicode MS"/>
                <w:b w:val="0"/>
                <w:color w:val="000000"/>
                <w:sz w:val="20"/>
              </w:rPr>
              <w:t>D06-P03</w:t>
            </w:r>
          </w:p>
        </w:tc>
        <w:tc>
          <w:tcPr>
            <w:tcW w:w="4853" w:type="dxa"/>
            <w:vAlign w:val="center"/>
          </w:tcPr>
          <w:p w14:paraId="4A7D1487">
            <w:pPr>
              <w:spacing w:before="30" w:after="30" w:line="290" w:lineRule="exact"/>
            </w:pPr>
            <w:r>
              <w:rPr>
                <w:rFonts w:ascii="Arial Unicode MS" w:hAnsi="Arial Unicode MS" w:eastAsia="Arial Unicode MS"/>
                <w:b w:val="0"/>
                <w:color w:val="000000"/>
                <w:sz w:val="20"/>
              </w:rPr>
              <w:t>新旧料采购、消耗与呆滞处置缺少统一责任和生命周期控制。</w:t>
            </w:r>
          </w:p>
        </w:tc>
        <w:tc>
          <w:tcPr>
            <w:tcW w:w="3902" w:type="dxa"/>
            <w:vAlign w:val="center"/>
          </w:tcPr>
          <w:p w14:paraId="2A87F9EC">
            <w:pPr>
              <w:spacing w:before="30" w:after="30" w:line="290" w:lineRule="exact"/>
            </w:pPr>
            <w:r>
              <w:rPr>
                <w:rFonts w:ascii="Arial Unicode MS" w:hAnsi="Arial Unicode MS" w:eastAsia="Arial Unicode MS"/>
                <w:b w:val="0"/>
                <w:color w:val="000000"/>
                <w:sz w:val="20"/>
              </w:rPr>
              <w:t>旧尾料、研发余料及无订单成品持续占用资金和空间。</w:t>
            </w:r>
          </w:p>
        </w:tc>
      </w:tr>
      <w:tr w14:paraId="0CACB340">
        <w:trPr>
          <w:cantSplit/>
          <w:jc w:val="center"/>
        </w:trPr>
        <w:tc>
          <w:tcPr>
            <w:tcW w:w="1325" w:type="dxa"/>
            <w:shd w:val="clear" w:color="auto" w:fill="F1F5F8"/>
            <w:vAlign w:val="center"/>
          </w:tcPr>
          <w:p w14:paraId="691B3615">
            <w:pPr>
              <w:spacing w:before="30" w:after="30" w:line="290" w:lineRule="exact"/>
              <w:jc w:val="center"/>
            </w:pPr>
            <w:r>
              <w:rPr>
                <w:rFonts w:ascii="Arial Unicode MS" w:hAnsi="Arial Unicode MS" w:eastAsia="Arial Unicode MS"/>
                <w:b w:val="0"/>
                <w:color w:val="000000"/>
                <w:sz w:val="20"/>
              </w:rPr>
              <w:t>D06-P04</w:t>
            </w:r>
          </w:p>
        </w:tc>
        <w:tc>
          <w:tcPr>
            <w:tcW w:w="4853" w:type="dxa"/>
            <w:shd w:val="clear" w:color="auto" w:fill="F1F5F8"/>
            <w:vAlign w:val="center"/>
          </w:tcPr>
          <w:p w14:paraId="702CE31C">
            <w:pPr>
              <w:spacing w:before="30" w:after="30" w:line="290" w:lineRule="exact"/>
            </w:pPr>
            <w:r>
              <w:rPr>
                <w:rFonts w:ascii="Arial Unicode MS" w:hAnsi="Arial Unicode MS" w:eastAsia="Arial Unicode MS"/>
                <w:b w:val="0"/>
                <w:color w:val="000000"/>
                <w:sz w:val="20"/>
              </w:rPr>
              <w:t>委外分批回货与全量领料扣账并存。</w:t>
            </w:r>
          </w:p>
        </w:tc>
        <w:tc>
          <w:tcPr>
            <w:tcW w:w="3902" w:type="dxa"/>
            <w:shd w:val="clear" w:color="auto" w:fill="F1F5F8"/>
            <w:vAlign w:val="center"/>
          </w:tcPr>
          <w:p w14:paraId="7C1A9E75">
            <w:pPr>
              <w:spacing w:before="30" w:after="30" w:line="290" w:lineRule="exact"/>
            </w:pPr>
            <w:r>
              <w:rPr>
                <w:rFonts w:ascii="Arial Unicode MS" w:hAnsi="Arial Unicode MS" w:eastAsia="Arial Unicode MS"/>
                <w:b w:val="0"/>
                <w:color w:val="000000"/>
                <w:sz w:val="20"/>
              </w:rPr>
              <w:t>委外仓账面数量不能直接代表供应商剩余材料及实际消耗。</w:t>
            </w:r>
          </w:p>
        </w:tc>
      </w:tr>
      <w:tr w14:paraId="75161625">
        <w:trPr>
          <w:cantSplit/>
          <w:jc w:val="center"/>
        </w:trPr>
        <w:tc>
          <w:tcPr>
            <w:tcW w:w="1325" w:type="dxa"/>
            <w:vAlign w:val="center"/>
          </w:tcPr>
          <w:p w14:paraId="55E21E39">
            <w:pPr>
              <w:spacing w:before="30" w:after="30" w:line="290" w:lineRule="exact"/>
              <w:jc w:val="center"/>
            </w:pPr>
            <w:r>
              <w:rPr>
                <w:rFonts w:ascii="Arial Unicode MS" w:hAnsi="Arial Unicode MS" w:eastAsia="Arial Unicode MS"/>
                <w:b w:val="0"/>
                <w:color w:val="000000"/>
                <w:sz w:val="20"/>
              </w:rPr>
              <w:t>D06-P05</w:t>
            </w:r>
          </w:p>
        </w:tc>
        <w:tc>
          <w:tcPr>
            <w:tcW w:w="4853" w:type="dxa"/>
            <w:vAlign w:val="center"/>
          </w:tcPr>
          <w:p w14:paraId="7840092C">
            <w:pPr>
              <w:spacing w:before="30" w:after="30" w:line="290" w:lineRule="exact"/>
            </w:pPr>
            <w:r>
              <w:rPr>
                <w:rFonts w:ascii="Arial Unicode MS" w:hAnsi="Arial Unicode MS" w:eastAsia="Arial Unicode MS"/>
                <w:b w:val="0"/>
                <w:color w:val="000000"/>
                <w:sz w:val="20"/>
              </w:rPr>
              <w:t>采购包装量、使用单位及尾差规则缺少统一维护。</w:t>
            </w:r>
          </w:p>
        </w:tc>
        <w:tc>
          <w:tcPr>
            <w:tcW w:w="3902" w:type="dxa"/>
            <w:vAlign w:val="center"/>
          </w:tcPr>
          <w:p w14:paraId="31E8A050">
            <w:pPr>
              <w:spacing w:before="30" w:after="30" w:line="290" w:lineRule="exact"/>
            </w:pPr>
            <w:r>
              <w:rPr>
                <w:rFonts w:ascii="Arial Unicode MS" w:hAnsi="Arial Unicode MS" w:eastAsia="Arial Unicode MS"/>
                <w:b w:val="0"/>
                <w:color w:val="000000"/>
                <w:sz w:val="20"/>
              </w:rPr>
              <w:t>裁剪、称重、整瓶发料与BOM扣账难以一致，余量及成本归集不清。</w:t>
            </w:r>
          </w:p>
        </w:tc>
      </w:tr>
      <w:tr w14:paraId="6932B5EF">
        <w:trPr>
          <w:cantSplit/>
          <w:jc w:val="center"/>
        </w:trPr>
        <w:tc>
          <w:tcPr>
            <w:tcW w:w="1325" w:type="dxa"/>
            <w:shd w:val="clear" w:color="auto" w:fill="F1F5F8"/>
            <w:vAlign w:val="center"/>
          </w:tcPr>
          <w:p w14:paraId="659C368F">
            <w:pPr>
              <w:spacing w:before="30" w:after="30" w:line="290" w:lineRule="exact"/>
              <w:jc w:val="center"/>
            </w:pPr>
            <w:r>
              <w:rPr>
                <w:rFonts w:ascii="Arial Unicode MS" w:hAnsi="Arial Unicode MS" w:eastAsia="Arial Unicode MS"/>
                <w:b w:val="0"/>
                <w:color w:val="000000"/>
                <w:sz w:val="20"/>
              </w:rPr>
              <w:t>D06-P06</w:t>
            </w:r>
          </w:p>
        </w:tc>
        <w:tc>
          <w:tcPr>
            <w:tcW w:w="4853" w:type="dxa"/>
            <w:shd w:val="clear" w:color="auto" w:fill="F1F5F8"/>
            <w:vAlign w:val="center"/>
          </w:tcPr>
          <w:p w14:paraId="563B2A9E">
            <w:pPr>
              <w:spacing w:before="30" w:after="30" w:line="290" w:lineRule="exact"/>
            </w:pPr>
            <w:r>
              <w:rPr>
                <w:rFonts w:ascii="Arial Unicode MS" w:hAnsi="Arial Unicode MS" w:eastAsia="Arial Unicode MS"/>
                <w:b w:val="0"/>
                <w:color w:val="000000"/>
                <w:sz w:val="20"/>
              </w:rPr>
              <w:t>仓储缺少前瞻计划、规范位置及空间占用信息。</w:t>
            </w:r>
          </w:p>
        </w:tc>
        <w:tc>
          <w:tcPr>
            <w:tcW w:w="3902" w:type="dxa"/>
            <w:shd w:val="clear" w:color="auto" w:fill="F1F5F8"/>
            <w:vAlign w:val="center"/>
          </w:tcPr>
          <w:p w14:paraId="2D12EFF6">
            <w:pPr>
              <w:spacing w:before="30" w:after="30" w:line="290" w:lineRule="exact"/>
            </w:pPr>
            <w:r>
              <w:rPr>
                <w:rFonts w:ascii="Arial Unicode MS" w:hAnsi="Arial Unicode MS" w:eastAsia="Arial Unicode MS"/>
                <w:b w:val="0"/>
                <w:color w:val="000000"/>
                <w:sz w:val="20"/>
              </w:rPr>
              <w:t>备货准备、按出货顺序安排成品和寻料效率受限。</w:t>
            </w:r>
          </w:p>
        </w:tc>
      </w:tr>
      <w:tr w14:paraId="7490DAA6">
        <w:trPr>
          <w:cantSplit/>
          <w:jc w:val="center"/>
        </w:trPr>
        <w:tc>
          <w:tcPr>
            <w:tcW w:w="1325" w:type="dxa"/>
            <w:vAlign w:val="center"/>
          </w:tcPr>
          <w:p w14:paraId="22D7B2A3">
            <w:pPr>
              <w:spacing w:before="30" w:after="30" w:line="290" w:lineRule="exact"/>
              <w:jc w:val="center"/>
            </w:pPr>
            <w:r>
              <w:rPr>
                <w:rFonts w:ascii="Arial Unicode MS" w:hAnsi="Arial Unicode MS" w:eastAsia="Arial Unicode MS"/>
                <w:b w:val="0"/>
                <w:color w:val="000000"/>
                <w:sz w:val="20"/>
              </w:rPr>
              <w:t>D06-P07</w:t>
            </w:r>
          </w:p>
        </w:tc>
        <w:tc>
          <w:tcPr>
            <w:tcW w:w="4853" w:type="dxa"/>
            <w:vAlign w:val="center"/>
          </w:tcPr>
          <w:p w14:paraId="62B18F20">
            <w:pPr>
              <w:spacing w:before="30" w:after="30" w:line="290" w:lineRule="exact"/>
            </w:pPr>
            <w:r>
              <w:rPr>
                <w:rFonts w:ascii="Arial Unicode MS" w:hAnsi="Arial Unicode MS" w:eastAsia="Arial Unicode MS"/>
                <w:b w:val="0"/>
                <w:color w:val="000000"/>
                <w:sz w:val="20"/>
              </w:rPr>
              <w:t>物料效期控制与成品库环境治理不足。</w:t>
            </w:r>
          </w:p>
        </w:tc>
        <w:tc>
          <w:tcPr>
            <w:tcW w:w="3902" w:type="dxa"/>
            <w:vAlign w:val="center"/>
          </w:tcPr>
          <w:p w14:paraId="7B2EECA2">
            <w:pPr>
              <w:spacing w:before="30" w:after="30" w:line="290" w:lineRule="exact"/>
            </w:pPr>
            <w:r>
              <w:rPr>
                <w:rFonts w:ascii="Arial Unicode MS" w:hAnsi="Arial Unicode MS" w:eastAsia="Arial Unicode MS"/>
                <w:b w:val="0"/>
                <w:color w:val="000000"/>
                <w:sz w:val="20"/>
              </w:rPr>
              <w:t>临期/过期料使用与长期存放包材状态缺少持续控制。</w:t>
            </w:r>
          </w:p>
        </w:tc>
      </w:tr>
    </w:tbl>
    <w:p w14:paraId="185A0D6C">
      <w:pPr>
        <w:spacing w:before="20" w:after="20" w:line="120" w:lineRule="auto"/>
      </w:pPr>
    </w:p>
    <w:p w14:paraId="057DD02F">
      <w:pPr>
        <w:pStyle w:val="4"/>
        <w:pageBreakBefore w:val="0"/>
      </w:pPr>
      <w:bookmarkStart w:id="9" w:name="topic_D07"/>
      <w:r>
        <w:rPr>
          <w:rFonts w:ascii="Arial Unicode MS" w:hAnsi="Arial Unicode MS" w:eastAsia="Arial Unicode MS"/>
          <w:b/>
          <w:color w:val="000000"/>
        </w:rPr>
        <w:t>专题D07 质量 追溯与合规</w:t>
      </w:r>
      <w:bookmarkEnd w:id="9"/>
    </w:p>
    <w:p w14:paraId="544B4952">
      <w:pPr>
        <w:keepNext/>
      </w:pPr>
      <w:r>
        <w:rPr>
          <w:rFonts w:ascii="Arial Unicode MS" w:hAnsi="Arial Unicode MS" w:eastAsia="Arial Unicode MS"/>
          <w:color w:val="000000"/>
        </w:rPr>
        <w:t>业务协作责任位 AR6、AR622、AR641，接口责任位 AR2、AR2435、AR56、AR562、AR53、AR54</w:t>
      </w:r>
    </w:p>
    <w:p w14:paraId="463EBF8D">
      <w:pPr>
        <w:keepNext/>
      </w:pPr>
      <w:r>
        <w:rPr>
          <w:rFonts w:ascii="Arial Unicode MS" w:hAnsi="Arial Unicode MS" w:eastAsia="Arial Unicode MS"/>
          <w:color w:val="000000"/>
        </w:rPr>
        <w:t>资料来源 S15 S15T，并结合 S01 S02 S04 S06 S06T S10T S11 S17 S17T S18 S18T S19 S19T S20 S20T S21 S21T</w:t>
      </w:r>
    </w:p>
    <w:p w14:paraId="29485734">
      <w:pPr>
        <w:pStyle w:val="5"/>
      </w:pPr>
      <w:r>
        <w:rPr>
          <w:rFonts w:ascii="Arial Unicode MS" w:hAnsi="Arial Unicode MS" w:eastAsia="Arial Unicode MS"/>
          <w:color w:val="000000"/>
        </w:rPr>
        <w:t>业务对象与运行结论</w:t>
      </w:r>
    </w:p>
    <w:p w14:paraId="71D7EB2D">
      <w:r>
        <w:rPr>
          <w:rFonts w:ascii="Arial Unicode MS" w:hAnsi="Arial Unicode MS" w:eastAsia="Arial Unicode MS"/>
          <w:color w:val="000000"/>
        </w:rPr>
        <w:t>质量管理对象贯穿供应来料与自制送检、过程测量、产测、维修复测、出货与客诉，涉及检验任务、检验依据、原始实测值、判定、处置、物料身份和产品SN。研发提供检验表，质量组织检验并判定，仓储及制造依据结果办理收退与后续处理；飞书、ERP、旧MES和纸面记录分别承接部分业务。</w:t>
      </w:r>
    </w:p>
    <w:p w14:paraId="6CCD2AEE">
      <w:r>
        <w:rPr>
          <w:rFonts w:ascii="Arial Unicode MS" w:hAnsi="Arial Unicode MS" w:eastAsia="Arial Unicode MS"/>
          <w:color w:val="000000"/>
        </w:rPr>
        <w:t>质量管理已有检验、判定、审批和局部标准工作量基础，主要矛盾是任务调整、原始证据与实际状态未连续关联。排检需人工综合多表，急料调整不持续回写；原始明细主要纸记，重复附入日报并转录汇总；过程问题也分散于个人台账和口头反馈。应把低负担原始记录、可追踪任务和实物身份同步设计，由同一事实形成必要统计及追溯，避免增加一套重复填报。</w:t>
      </w:r>
    </w:p>
    <w:p w14:paraId="6C5477AC">
      <w:pPr>
        <w:keepNext/>
        <w:spacing w:line="240" w:lineRule="auto"/>
        <w:jc w:val="center"/>
      </w:pPr>
      <w:r>
        <w:drawing>
          <wp:inline distT="0" distB="0" distL="114300" distR="114300">
            <wp:extent cx="6355080" cy="3177540"/>
            <wp:effectExtent l="0" t="0" r="20320" b="228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5"/>
                    <a:stretch>
                      <a:fillRect/>
                    </a:stretch>
                  </pic:blipFill>
                  <pic:spPr>
                    <a:xfrm>
                      <a:off x="0" y="0"/>
                      <a:ext cx="6355080" cy="3177540"/>
                    </a:xfrm>
                    <a:prstGeom prst="rect">
                      <a:avLst/>
                    </a:prstGeom>
                  </pic:spPr>
                </pic:pic>
              </a:graphicData>
            </a:graphic>
          </wp:inline>
        </w:drawing>
      </w:r>
    </w:p>
    <w:p w14:paraId="60811F6C">
      <w:pPr>
        <w:spacing w:after="180"/>
        <w:jc w:val="center"/>
      </w:pPr>
      <w:r>
        <w:rPr>
          <w:rFonts w:ascii="Arial Unicode MS" w:hAnsi="Arial Unicode MS" w:eastAsia="Arial Unicode MS"/>
          <w:color w:val="000000"/>
        </w:rPr>
        <w:t>图8 D07质量排检记录与处置现状</w:t>
      </w:r>
    </w:p>
    <w:p w14:paraId="15496870">
      <w:pPr>
        <w:pStyle w:val="5"/>
      </w:pPr>
      <w:r>
        <w:rPr>
          <w:rFonts w:ascii="Arial Unicode MS" w:hAnsi="Arial Unicode MS" w:eastAsia="Arial Unicode MS"/>
          <w:color w:val="000000"/>
        </w:rPr>
        <w:t>常规及特殊业务规则</w:t>
      </w:r>
    </w:p>
    <w:p w14:paraId="239D69AA">
      <w:r>
        <w:rPr>
          <w:rFonts w:ascii="Arial Unicode MS" w:hAnsi="Arial Unicode MS" w:eastAsia="Arial Unicode MS"/>
          <w:color w:val="000000"/>
        </w:rPr>
        <w:t>检验依据与任务分配  研发提供电子检验表，表单变更经接受后形成受控文件，现场亦会在已有项目基础上补充要求。文员综合ERP待检、欠料、订单交付、到货先后、人员专长和在岗情况人工排检，兼顾同款连续安排以减少切换；机加工纸质送检另行协调。检验项目可并行，急料可通过消息临时调整，但排班表未持续同步，任务变更、实际完成与待检积压缺少统一视图。</w:t>
      </w:r>
    </w:p>
    <w:p w14:paraId="24ABEE00">
      <w:r>
        <w:rPr>
          <w:rFonts w:ascii="Arial Unicode MS" w:hAnsi="Arial Unicode MS" w:eastAsia="Arial Unicode MS"/>
          <w:color w:val="000000"/>
        </w:rPr>
        <w:t>抽样及标准适用  外观多数采取全检，标准件存在例外；一般尺寸常按AQL抽样，关键尺寸依具体表单采用全检或一定比例抽检。部分旧表未同步完善版本、抽样标记等信息。模组外观部分要求依经验及客诉积累执行，尚未形成统一缺陷样例依据。重复异常来料可临时加严检验，系统应承接批准规则，不能把所有物料和项目统一配置为全检。</w:t>
      </w:r>
    </w:p>
    <w:p w14:paraId="011662BA">
      <w:r>
        <w:rPr>
          <w:rFonts w:ascii="Arial Unicode MS" w:hAnsi="Arial Unicode MS" w:eastAsia="Arial Unicode MS"/>
          <w:color w:val="000000"/>
        </w:rPr>
        <w:t>合并检验与分单回写  多张来料单可合并组织检验，纸表关联相应送检编号，结果仍需按原单分别形成ERP检验记录；急料存在分批出结果的处理。送检单号、合检集合、供应商制造批次和物料SN含义不同，应保留相互对应关系及数量，避免将合检操作误作为物料批次合并。</w:t>
      </w:r>
    </w:p>
    <w:p w14:paraId="50CEAD9B">
      <w:r>
        <w:rPr>
          <w:rFonts w:ascii="Arial Unicode MS" w:hAnsi="Arial Unicode MS" w:eastAsia="Arial Unicode MS"/>
          <w:color w:val="000000"/>
        </w:rPr>
        <w:t>记录及收退交接  检验人员打印模板并记录原始测量，纸表随料流转；文员从ERP收料通知下推检验单、录入合格及不合格数量和判定，单据再按现有权限审核，仓储或制造办理收退。部分批次原单复印附入个人日报，文员再次转录汇总为PDF；同批跨日检验会分别附入日报。每日工作量、批次最终判定与原始实测记录需分别关联，不能把重复附件计为新增检验对象。</w:t>
      </w:r>
    </w:p>
    <w:p w14:paraId="1EC5D2B7">
      <w:r>
        <w:rPr>
          <w:rFonts w:ascii="Arial Unicode MS" w:hAnsi="Arial Unicode MS" w:eastAsia="Arial Unicode MS"/>
          <w:color w:val="000000"/>
        </w:rPr>
        <w:t>不合格与让步处置  已有不合格标签、专用区域隔离、飞书评审及ERP判定。供应来料一般退回；紧急辅料曾经补片后作让步接收。自制件可退回机加工或生产返工、报废并再次送检。质量判定与最终处置授权应分别记录，单有检验OK或流程审批不能自动代表实物已完成处理。</w:t>
      </w:r>
    </w:p>
    <w:p w14:paraId="1C6C7972">
      <w:r>
        <w:rPr>
          <w:rFonts w:ascii="Arial Unicode MS" w:hAnsi="Arial Unicode MS" w:eastAsia="Arial Unicode MS"/>
          <w:color w:val="000000"/>
        </w:rPr>
        <w:t>库存问题与冻结  已出现通过物料表面字符人工寻找问题库存、贴标隔离的做法，部分供应商尾料因空间原因混放。当前冻结操作主要依靠人工查找和物理隔离。建设应使受影响对象定位、实际领用和流转限制、处置与解除依据相互对应，覆盖库存、在制与产品，并核对控制措施的执行结果。</w:t>
      </w:r>
    </w:p>
    <w:p w14:paraId="5B0FB722">
      <w:r>
        <w:rPr>
          <w:rFonts w:ascii="Arial Unicode MS" w:hAnsi="Arial Unicode MS" w:eastAsia="Arial Unicode MS"/>
          <w:color w:val="000000"/>
        </w:rPr>
        <w:t>维修与复测  旧MES已有维修入口及部分PCB更换信息，但现场换件登记未完整执行，SN或PCBA重绑历史不足。专业人员按缺陷判断维修，可将同类故障不同型号临时合车处理；载具变化不改变各产品原工单及身份。应逐件保留实际动作、替出替入、必要复测及授权恢复，避免固定返工路线或整车放行覆盖个体差异。</w:t>
      </w:r>
    </w:p>
    <w:p w14:paraId="43D578C7">
      <w:r>
        <w:rPr>
          <w:rFonts w:ascii="Arial Unicode MS" w:hAnsi="Arial Unicode MS" w:eastAsia="Arial Unicode MS"/>
          <w:color w:val="000000"/>
        </w:rPr>
        <w:t>客诉与8D  已有飞书8D审批，研发先开展分析，质量跟进改善、预防及原因合理性核查；完整报告仍由研发助理组织纸质会签后上传。现有诉求包括减少线下跑签、便捷取得批次与过程证据。MES应提供可还原的事实链和附件索引，8D审批与签署继续按协同平台及授权规则承接。</w:t>
      </w:r>
    </w:p>
    <w:p w14:paraId="4740AD4A">
      <w:r>
        <w:rPr>
          <w:rFonts w:ascii="Arial Unicode MS" w:hAnsi="Arial Unicode MS" w:eastAsia="Arial Unicode MS"/>
          <w:color w:val="000000"/>
        </w:rPr>
        <w:t>过程问题发现与反馈  受访岗位通过操作员口述、实物展示及现场查看发现来料或制程问题，个人Excel记录后当前按周反馈，频发问题再向管理人员升级；维修多由有经验人员判断。局部工序已有拉力检查、首检和巡检，不能据此认定全流程已统一覆盖。共享线上问题台账为明确诉求，飞书多维表属于讨论候选，尚无上线依据；记录发现环节与现象后，再依据分析确定原因及责任。</w:t>
      </w:r>
    </w:p>
    <w:p w14:paraId="5A10F1AC">
      <w:r>
        <w:rPr>
          <w:rFonts w:ascii="Arial Unicode MS" w:hAnsi="Arial Unicode MS" w:eastAsia="Arial Unicode MS"/>
          <w:color w:val="000000"/>
        </w:rPr>
        <w:t>过程与交付报告  电机装配检验、初测和成品检验形成三类记录或报告，内部记录回收归档；成品检验报告另有客户随货用途。电子化应按实际模板关联原值、适用字段及内外版本，不把全部过程记录都列为客户交付物，也不将当前纸张份数固化为永久打印规则。</w:t>
      </w:r>
    </w:p>
    <w:p w14:paraId="110B3505">
      <w:pPr>
        <w:pStyle w:val="5"/>
      </w:pPr>
      <w:r>
        <w:rPr>
          <w:rFonts w:ascii="Arial Unicode MS" w:hAnsi="Arial Unicode MS" w:eastAsia="Arial Unicode MS"/>
          <w:color w:val="000000"/>
        </w:rPr>
        <w:t>系统与数字化现状</w:t>
      </w:r>
    </w:p>
    <w:p w14:paraId="465FF091">
      <w:r>
        <w:rPr>
          <w:rFonts w:ascii="Arial Unicode MS" w:hAnsi="Arial Unicode MS" w:eastAsia="Arial Unicode MS"/>
          <w:color w:val="000000"/>
        </w:rPr>
        <w:t>原始检验明细主要纸档归档，日报PDF和汇总不等于完整原始实测明细备份。受访岗位口述现行相关纸档保存10年，留存依据尚未核定。近期记录较易查找，较早记录可能需1至2小时；重复复印和人工转录加重归档与查询负担。电子化应按记录类型和适用要求核定留存与替代规则，保留原始证据、更正历史及可检索关联，现有档案处置仍按批准要求执行。</w:t>
      </w:r>
    </w:p>
    <w:p w14:paraId="034C495F">
      <w:r>
        <w:rPr>
          <w:rFonts w:ascii="Arial Unicode MS" w:hAnsi="Arial Unicode MS" w:eastAsia="Arial Unicode MS"/>
          <w:color w:val="000000"/>
        </w:rPr>
        <w:t>供应商可扫码身份主要见于编码器、减速机和电机，其他来料可能仅有镭雕字符或缺少可用身份。PCBA来货已有供方二维码，本次所述操作未直接使用二维码载荷，而是人工抄录板上数字串作为PCBA序列，与产品SN关联。产品SN、PCBA序列、供方标识及内部接收标识应分别保留语义与映射，拆包、转车、尾料、投入和换件均应保持来源连续。</w:t>
      </w:r>
    </w:p>
    <w:p w14:paraId="45F744F2">
      <w:r>
        <w:rPr>
          <w:rFonts w:ascii="Arial Unicode MS" w:hAnsi="Arial Unicode MS" w:eastAsia="Arial Unicode MS"/>
          <w:color w:val="000000"/>
        </w:rPr>
        <w:t>局部产测数据能够上传旧MES，但质量查询仍涉及工位取数和U盘转移，部分终端共用、网络条件不齐。联网、离线与可查询范围需按实际工位分别设计。制造记录应以产品SN及物料来源为索引，关联适用检验表、原始值、判定、实际软件版本、换件、复测及报告，保留原始事件与补录时间。</w:t>
      </w:r>
    </w:p>
    <w:p w14:paraId="0F14C272">
      <w:r>
        <w:rPr>
          <w:rFonts w:ascii="Arial Unicode MS" w:hAnsi="Arial Unicode MS" w:eastAsia="Arial Unicode MS"/>
          <w:color w:val="000000"/>
        </w:rPr>
        <w:t>计量设备已有年度第三方校准及证书，环规等量具设有编号，辅助工装的编号覆盖不同。除FAI等场景外，日常检验通常不记录实际使用量具，测量结果与具体量具及当时有效状态的关联不足。应优先对关键测量对象建立使用关联，完整台账与有效性核验见设备资源管理。</w:t>
      </w:r>
    </w:p>
    <w:p w14:paraId="4C42E5B3">
      <w:r>
        <w:rPr>
          <w:rFonts w:ascii="Arial Unicode MS" w:hAnsi="Arial Unicode MS" w:eastAsia="Arial Unicode MS"/>
          <w:color w:val="000000"/>
        </w:rPr>
        <w:t>目前未形成系统化SPC分析。检验参数记录、检验任务完成统计、缺陷分析和统计过程控制属于不同能力，不能相互替代。应先建立稳定的测量项目、单位、来源、版本和过程分组，再选择适用场景开展SPC与能力分析；不宜把跨型号、跨工艺或不同抽样方式的记录直接汇入同一控制图。</w:t>
      </w:r>
    </w:p>
    <w:p w14:paraId="772403FF">
      <w:r>
        <w:rPr>
          <w:rFonts w:ascii="Arial Unicode MS" w:hAnsi="Arial Unicode MS" w:eastAsia="Arial Unicode MS"/>
          <w:color w:val="000000"/>
        </w:rPr>
        <w:t>排检周期与统计  当前受访业务尚无从收料/送检到检完入库的正式周期统计，仍存在待清积压。应分别记录待派、排队、检验执行、异常等待和检后入库，识别受限环节；口述收料/送检至检完入库总周期不能直接用于判断标准周期、服务承诺或证明检验能力已匹配。</w:t>
      </w:r>
    </w:p>
    <w:p w14:paraId="3DAA8A9C">
      <w:pPr>
        <w:pStyle w:val="5"/>
      </w:pPr>
      <w:r>
        <w:rPr>
          <w:rFonts w:ascii="Arial Unicode MS" w:hAnsi="Arial Unicode MS" w:eastAsia="Arial Unicode MS"/>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224"/>
        <w:gridCol w:w="4392"/>
        <w:gridCol w:w="4392"/>
      </w:tblGrid>
      <w:tr w14:paraId="7923660A">
        <w:trPr>
          <w:cantSplit/>
          <w:tblHeader/>
          <w:jc w:val="center"/>
        </w:trPr>
        <w:tc>
          <w:tcPr>
            <w:tcW w:w="1224" w:type="dxa"/>
            <w:shd w:val="clear" w:color="auto" w:fill="234A68"/>
            <w:vAlign w:val="center"/>
          </w:tcPr>
          <w:p w14:paraId="5E505DFE">
            <w:pPr>
              <w:keepNext/>
              <w:spacing w:before="40" w:after="40" w:line="280" w:lineRule="exact"/>
              <w:jc w:val="center"/>
            </w:pPr>
            <w:r>
              <w:rPr>
                <w:rFonts w:ascii="Arial Unicode MS" w:hAnsi="Arial Unicode MS" w:eastAsia="Arial Unicode MS"/>
                <w:b/>
                <w:color w:val="FFFFFF"/>
                <w:sz w:val="20"/>
              </w:rPr>
              <w:t>编号</w:t>
            </w:r>
          </w:p>
        </w:tc>
        <w:tc>
          <w:tcPr>
            <w:tcW w:w="4392" w:type="dxa"/>
            <w:shd w:val="clear" w:color="auto" w:fill="234A68"/>
            <w:vAlign w:val="center"/>
          </w:tcPr>
          <w:p w14:paraId="2152044A">
            <w:pPr>
              <w:keepNext/>
              <w:spacing w:before="40" w:after="40" w:line="280" w:lineRule="exact"/>
              <w:jc w:val="center"/>
            </w:pPr>
            <w:r>
              <w:rPr>
                <w:rFonts w:ascii="Arial Unicode MS" w:hAnsi="Arial Unicode MS" w:eastAsia="Arial Unicode MS"/>
                <w:b/>
                <w:color w:val="FFFFFF"/>
                <w:sz w:val="20"/>
              </w:rPr>
              <w:t>问题</w:t>
            </w:r>
          </w:p>
        </w:tc>
        <w:tc>
          <w:tcPr>
            <w:tcW w:w="4392" w:type="dxa"/>
            <w:shd w:val="clear" w:color="auto" w:fill="234A68"/>
            <w:vAlign w:val="center"/>
          </w:tcPr>
          <w:p w14:paraId="68E7EA47">
            <w:pPr>
              <w:keepNext/>
              <w:spacing w:before="40" w:after="40" w:line="280" w:lineRule="exact"/>
              <w:jc w:val="center"/>
            </w:pPr>
            <w:r>
              <w:rPr>
                <w:rFonts w:ascii="Arial Unicode MS" w:hAnsi="Arial Unicode MS" w:eastAsia="Arial Unicode MS"/>
                <w:b/>
                <w:color w:val="FFFFFF"/>
                <w:sz w:val="20"/>
              </w:rPr>
              <w:t>业务影响</w:t>
            </w:r>
          </w:p>
        </w:tc>
      </w:tr>
      <w:tr w14:paraId="5BBFDF5F">
        <w:trPr>
          <w:cantSplit/>
          <w:jc w:val="center"/>
        </w:trPr>
        <w:tc>
          <w:tcPr>
            <w:tcW w:w="1224" w:type="dxa"/>
            <w:vAlign w:val="center"/>
          </w:tcPr>
          <w:p w14:paraId="22372074">
            <w:pPr>
              <w:spacing w:before="40" w:after="40" w:line="280" w:lineRule="exact"/>
              <w:jc w:val="center"/>
            </w:pPr>
            <w:r>
              <w:rPr>
                <w:rFonts w:ascii="Arial Unicode MS" w:hAnsi="Arial Unicode MS" w:eastAsia="Arial Unicode MS"/>
                <w:b w:val="0"/>
                <w:color w:val="000000"/>
                <w:sz w:val="20"/>
              </w:rPr>
              <w:t>D07-P01</w:t>
            </w:r>
          </w:p>
        </w:tc>
        <w:tc>
          <w:tcPr>
            <w:tcW w:w="4392" w:type="dxa"/>
            <w:vAlign w:val="center"/>
          </w:tcPr>
          <w:p w14:paraId="0555535F">
            <w:pPr>
              <w:spacing w:before="40" w:after="40" w:line="280" w:lineRule="exact"/>
            </w:pPr>
            <w:r>
              <w:rPr>
                <w:rFonts w:ascii="Arial Unicode MS" w:hAnsi="Arial Unicode MS" w:eastAsia="Arial Unicode MS"/>
                <w:b w:val="0"/>
                <w:color w:val="000000"/>
                <w:sz w:val="20"/>
              </w:rPr>
              <w:t>关键件换件未完整登记，物料批次、送检集合与产品SN映射不连续。</w:t>
            </w:r>
          </w:p>
        </w:tc>
        <w:tc>
          <w:tcPr>
            <w:tcW w:w="4392" w:type="dxa"/>
            <w:vAlign w:val="center"/>
          </w:tcPr>
          <w:p w14:paraId="6CD46811">
            <w:pPr>
              <w:spacing w:before="40" w:after="40" w:line="280" w:lineRule="exact"/>
            </w:pPr>
            <w:r>
              <w:rPr>
                <w:rFonts w:ascii="Arial Unicode MS" w:hAnsi="Arial Unicode MS" w:eastAsia="Arial Unicode MS"/>
                <w:b w:val="0"/>
                <w:color w:val="000000"/>
                <w:sz w:val="20"/>
              </w:rPr>
              <w:t>最终配置与系统谱系可能不一致，难快速定位受影响库存、在制与产品。</w:t>
            </w:r>
          </w:p>
        </w:tc>
      </w:tr>
      <w:tr w14:paraId="2253306E">
        <w:trPr>
          <w:cantSplit/>
          <w:jc w:val="center"/>
        </w:trPr>
        <w:tc>
          <w:tcPr>
            <w:tcW w:w="1224" w:type="dxa"/>
            <w:shd w:val="clear" w:color="auto" w:fill="F1F5F8"/>
            <w:vAlign w:val="center"/>
          </w:tcPr>
          <w:p w14:paraId="3451A1CB">
            <w:pPr>
              <w:spacing w:before="40" w:after="40" w:line="280" w:lineRule="exact"/>
              <w:jc w:val="center"/>
            </w:pPr>
            <w:r>
              <w:rPr>
                <w:rFonts w:ascii="Arial Unicode MS" w:hAnsi="Arial Unicode MS" w:eastAsia="Arial Unicode MS"/>
                <w:b w:val="0"/>
                <w:color w:val="000000"/>
                <w:sz w:val="20"/>
              </w:rPr>
              <w:t>D07-P02</w:t>
            </w:r>
          </w:p>
        </w:tc>
        <w:tc>
          <w:tcPr>
            <w:tcW w:w="4392" w:type="dxa"/>
            <w:shd w:val="clear" w:color="auto" w:fill="F1F5F8"/>
            <w:vAlign w:val="center"/>
          </w:tcPr>
          <w:p w14:paraId="449EDCFB">
            <w:pPr>
              <w:spacing w:before="40" w:after="40" w:line="280" w:lineRule="exact"/>
            </w:pPr>
            <w:r>
              <w:rPr>
                <w:rFonts w:ascii="Arial Unicode MS" w:hAnsi="Arial Unicode MS" w:eastAsia="Arial Unicode MS"/>
                <w:b w:val="0"/>
                <w:color w:val="000000"/>
                <w:sz w:val="20"/>
              </w:rPr>
              <w:t>纸质明细、重复日报、自动测试、ERP判定与报告未形成统一证据链。</w:t>
            </w:r>
          </w:p>
        </w:tc>
        <w:tc>
          <w:tcPr>
            <w:tcW w:w="4392" w:type="dxa"/>
            <w:shd w:val="clear" w:color="auto" w:fill="F1F5F8"/>
            <w:vAlign w:val="center"/>
          </w:tcPr>
          <w:p w14:paraId="22A64F70">
            <w:pPr>
              <w:spacing w:before="40" w:after="40" w:line="280" w:lineRule="exact"/>
            </w:pPr>
            <w:r>
              <w:rPr>
                <w:rFonts w:ascii="Arial Unicode MS" w:hAnsi="Arial Unicode MS" w:eastAsia="Arial Unicode MS"/>
                <w:b w:val="0"/>
                <w:color w:val="000000"/>
                <w:sz w:val="20"/>
              </w:rPr>
              <w:t>转抄及重复留存负担重，跨日完成核对、原值查询与取证困难。</w:t>
            </w:r>
          </w:p>
        </w:tc>
      </w:tr>
      <w:tr w14:paraId="61859B9C">
        <w:trPr>
          <w:cantSplit/>
          <w:jc w:val="center"/>
        </w:trPr>
        <w:tc>
          <w:tcPr>
            <w:tcW w:w="1224" w:type="dxa"/>
            <w:vAlign w:val="center"/>
          </w:tcPr>
          <w:p w14:paraId="05B5CB6E">
            <w:pPr>
              <w:spacing w:before="40" w:after="40" w:line="280" w:lineRule="exact"/>
              <w:jc w:val="center"/>
            </w:pPr>
            <w:r>
              <w:rPr>
                <w:rFonts w:ascii="Arial Unicode MS" w:hAnsi="Arial Unicode MS" w:eastAsia="Arial Unicode MS"/>
                <w:b w:val="0"/>
                <w:color w:val="000000"/>
                <w:sz w:val="20"/>
              </w:rPr>
              <w:t>D07-P03</w:t>
            </w:r>
          </w:p>
        </w:tc>
        <w:tc>
          <w:tcPr>
            <w:tcW w:w="4392" w:type="dxa"/>
            <w:vAlign w:val="center"/>
          </w:tcPr>
          <w:p w14:paraId="22AE9A57">
            <w:pPr>
              <w:spacing w:before="40" w:after="40" w:line="280" w:lineRule="exact"/>
            </w:pPr>
            <w:r>
              <w:rPr>
                <w:rFonts w:ascii="Arial Unicode MS" w:hAnsi="Arial Unicode MS" w:eastAsia="Arial Unicode MS"/>
                <w:b w:val="0"/>
                <w:color w:val="000000"/>
                <w:sz w:val="20"/>
              </w:rPr>
              <w:t>过程问题以个人台账、口述或实物反馈，未与评审、隔离、处置及恢复连续关联。</w:t>
            </w:r>
          </w:p>
        </w:tc>
        <w:tc>
          <w:tcPr>
            <w:tcW w:w="4392" w:type="dxa"/>
            <w:vAlign w:val="center"/>
          </w:tcPr>
          <w:p w14:paraId="32965354">
            <w:pPr>
              <w:spacing w:before="40" w:after="40" w:line="280" w:lineRule="exact"/>
            </w:pPr>
            <w:r>
              <w:rPr>
                <w:rFonts w:ascii="Arial Unicode MS" w:hAnsi="Arial Unicode MS" w:eastAsia="Arial Unicode MS"/>
                <w:b w:val="0"/>
                <w:color w:val="000000"/>
                <w:sz w:val="20"/>
              </w:rPr>
              <w:t>问题共享、责任承接和受影响对象状态需人工追踪。</w:t>
            </w:r>
          </w:p>
        </w:tc>
      </w:tr>
      <w:tr w14:paraId="3641CE6A">
        <w:trPr>
          <w:cantSplit/>
          <w:jc w:val="center"/>
        </w:trPr>
        <w:tc>
          <w:tcPr>
            <w:tcW w:w="1224" w:type="dxa"/>
            <w:shd w:val="clear" w:color="auto" w:fill="F1F5F8"/>
            <w:vAlign w:val="center"/>
          </w:tcPr>
          <w:p w14:paraId="75E89184">
            <w:pPr>
              <w:spacing w:before="40" w:after="40" w:line="280" w:lineRule="exact"/>
              <w:jc w:val="center"/>
            </w:pPr>
            <w:r>
              <w:rPr>
                <w:rFonts w:ascii="Arial Unicode MS" w:hAnsi="Arial Unicode MS" w:eastAsia="Arial Unicode MS"/>
                <w:b w:val="0"/>
                <w:color w:val="000000"/>
                <w:sz w:val="20"/>
              </w:rPr>
              <w:t>D07-P04</w:t>
            </w:r>
          </w:p>
        </w:tc>
        <w:tc>
          <w:tcPr>
            <w:tcW w:w="4392" w:type="dxa"/>
            <w:shd w:val="clear" w:color="auto" w:fill="F1F5F8"/>
            <w:vAlign w:val="center"/>
          </w:tcPr>
          <w:p w14:paraId="4A3EB26F">
            <w:pPr>
              <w:spacing w:before="40" w:after="40" w:line="280" w:lineRule="exact"/>
            </w:pPr>
            <w:r>
              <w:rPr>
                <w:rFonts w:ascii="Arial Unicode MS" w:hAnsi="Arial Unicode MS" w:eastAsia="Arial Unicode MS"/>
                <w:b w:val="0"/>
                <w:color w:val="000000"/>
                <w:sz w:val="20"/>
              </w:rPr>
              <w:t>部分旧检验表版本和抽样标记不完善，模组外观标准依经验及客诉补充。</w:t>
            </w:r>
          </w:p>
        </w:tc>
        <w:tc>
          <w:tcPr>
            <w:tcW w:w="4392" w:type="dxa"/>
            <w:shd w:val="clear" w:color="auto" w:fill="F1F5F8"/>
            <w:vAlign w:val="center"/>
          </w:tcPr>
          <w:p w14:paraId="14405237">
            <w:pPr>
              <w:spacing w:before="40" w:after="40" w:line="280" w:lineRule="exact"/>
            </w:pPr>
            <w:r>
              <w:rPr>
                <w:rFonts w:ascii="Arial Unicode MS" w:hAnsi="Arial Unicode MS" w:eastAsia="Arial Unicode MS"/>
                <w:b w:val="0"/>
                <w:color w:val="000000"/>
                <w:sz w:val="20"/>
              </w:rPr>
              <w:t>执行依据及判定口径难统一，检验数据难按当时规则解释。</w:t>
            </w:r>
          </w:p>
        </w:tc>
      </w:tr>
      <w:tr w14:paraId="7BA980E7">
        <w:trPr>
          <w:cantSplit/>
          <w:jc w:val="center"/>
        </w:trPr>
        <w:tc>
          <w:tcPr>
            <w:tcW w:w="1224" w:type="dxa"/>
            <w:vAlign w:val="center"/>
          </w:tcPr>
          <w:p w14:paraId="6A0E66DE">
            <w:pPr>
              <w:spacing w:before="40" w:after="40" w:line="280" w:lineRule="exact"/>
              <w:jc w:val="center"/>
            </w:pPr>
            <w:r>
              <w:rPr>
                <w:rFonts w:ascii="Arial Unicode MS" w:hAnsi="Arial Unicode MS" w:eastAsia="Arial Unicode MS"/>
                <w:b w:val="0"/>
                <w:color w:val="000000"/>
                <w:sz w:val="20"/>
              </w:rPr>
              <w:t>D07-P05</w:t>
            </w:r>
          </w:p>
        </w:tc>
        <w:tc>
          <w:tcPr>
            <w:tcW w:w="4392" w:type="dxa"/>
            <w:vAlign w:val="center"/>
          </w:tcPr>
          <w:p w14:paraId="1BE79566">
            <w:pPr>
              <w:spacing w:before="40" w:after="40" w:line="280" w:lineRule="exact"/>
            </w:pPr>
            <w:r>
              <w:rPr>
                <w:rFonts w:ascii="Arial Unicode MS" w:hAnsi="Arial Unicode MS" w:eastAsia="Arial Unicode MS"/>
                <w:b w:val="0"/>
                <w:color w:val="000000"/>
                <w:sz w:val="20"/>
              </w:rPr>
              <w:t>已有校准管理，但日常检验通常缺少实际量具使用关联。</w:t>
            </w:r>
          </w:p>
        </w:tc>
        <w:tc>
          <w:tcPr>
            <w:tcW w:w="4392" w:type="dxa"/>
            <w:vAlign w:val="center"/>
          </w:tcPr>
          <w:p w14:paraId="5ED993D6">
            <w:pPr>
              <w:spacing w:before="40" w:after="40" w:line="280" w:lineRule="exact"/>
            </w:pPr>
            <w:r>
              <w:rPr>
                <w:rFonts w:ascii="Arial Unicode MS" w:hAnsi="Arial Unicode MS" w:eastAsia="Arial Unicode MS"/>
                <w:b w:val="0"/>
                <w:color w:val="000000"/>
                <w:sz w:val="20"/>
              </w:rPr>
              <w:t>难直接由检验结果还原测量资源条件，关键计量异常的影响分析基础不足。</w:t>
            </w:r>
          </w:p>
        </w:tc>
      </w:tr>
      <w:tr w14:paraId="5234C8F2">
        <w:trPr>
          <w:cantSplit/>
          <w:jc w:val="center"/>
        </w:trPr>
        <w:tc>
          <w:tcPr>
            <w:tcW w:w="1224" w:type="dxa"/>
            <w:shd w:val="clear" w:color="auto" w:fill="F1F5F8"/>
            <w:vAlign w:val="center"/>
          </w:tcPr>
          <w:p w14:paraId="2D622BAE">
            <w:pPr>
              <w:spacing w:before="40" w:after="40" w:line="280" w:lineRule="exact"/>
              <w:jc w:val="center"/>
            </w:pPr>
            <w:r>
              <w:rPr>
                <w:rFonts w:ascii="Arial Unicode MS" w:hAnsi="Arial Unicode MS" w:eastAsia="Arial Unicode MS"/>
                <w:b w:val="0"/>
                <w:color w:val="000000"/>
                <w:sz w:val="20"/>
              </w:rPr>
              <w:t>D07-P06</w:t>
            </w:r>
          </w:p>
        </w:tc>
        <w:tc>
          <w:tcPr>
            <w:tcW w:w="4392" w:type="dxa"/>
            <w:shd w:val="clear" w:color="auto" w:fill="F1F5F8"/>
            <w:vAlign w:val="center"/>
          </w:tcPr>
          <w:p w14:paraId="36002FE0">
            <w:pPr>
              <w:spacing w:before="40" w:after="40" w:line="280" w:lineRule="exact"/>
            </w:pPr>
            <w:r>
              <w:rPr>
                <w:rFonts w:ascii="Arial Unicode MS" w:hAnsi="Arial Unicode MS" w:eastAsia="Arial Unicode MS"/>
                <w:b w:val="0"/>
                <w:color w:val="000000"/>
                <w:sz w:val="20"/>
              </w:rPr>
              <w:t>8D已有飞书审批，但完整报告仍依赖纸质会签，分析证据分散。</w:t>
            </w:r>
          </w:p>
        </w:tc>
        <w:tc>
          <w:tcPr>
            <w:tcW w:w="4392" w:type="dxa"/>
            <w:shd w:val="clear" w:color="auto" w:fill="F1F5F8"/>
            <w:vAlign w:val="center"/>
          </w:tcPr>
          <w:p w14:paraId="6492BC74">
            <w:pPr>
              <w:spacing w:before="40" w:after="40" w:line="280" w:lineRule="exact"/>
            </w:pPr>
            <w:r>
              <w:rPr>
                <w:rFonts w:ascii="Arial Unicode MS" w:hAnsi="Arial Unicode MS" w:eastAsia="Arial Unicode MS"/>
                <w:b w:val="0"/>
                <w:color w:val="000000"/>
                <w:sz w:val="20"/>
              </w:rPr>
              <w:t>跑签和取证增加协作时间，措施与制造事实及后续验证难直接关联。</w:t>
            </w:r>
          </w:p>
        </w:tc>
      </w:tr>
      <w:tr w14:paraId="4EEF232F">
        <w:trPr>
          <w:cantSplit/>
          <w:jc w:val="center"/>
        </w:trPr>
        <w:tc>
          <w:tcPr>
            <w:tcW w:w="1224" w:type="dxa"/>
            <w:vAlign w:val="center"/>
          </w:tcPr>
          <w:p w14:paraId="5147E260">
            <w:pPr>
              <w:spacing w:before="40" w:after="40" w:line="280" w:lineRule="exact"/>
              <w:jc w:val="center"/>
            </w:pPr>
            <w:r>
              <w:rPr>
                <w:rFonts w:ascii="Arial Unicode MS" w:hAnsi="Arial Unicode MS" w:eastAsia="Arial Unicode MS"/>
                <w:b w:val="0"/>
                <w:color w:val="000000"/>
                <w:sz w:val="20"/>
              </w:rPr>
              <w:t>D07-P07</w:t>
            </w:r>
          </w:p>
        </w:tc>
        <w:tc>
          <w:tcPr>
            <w:tcW w:w="4392" w:type="dxa"/>
            <w:vAlign w:val="center"/>
          </w:tcPr>
          <w:p w14:paraId="446D90CB">
            <w:pPr>
              <w:spacing w:before="40" w:after="40" w:line="280" w:lineRule="exact"/>
            </w:pPr>
            <w:r>
              <w:rPr>
                <w:rFonts w:ascii="Arial Unicode MS" w:hAnsi="Arial Unicode MS" w:eastAsia="Arial Unicode MS"/>
                <w:b w:val="0"/>
                <w:color w:val="000000"/>
                <w:sz w:val="20"/>
              </w:rPr>
              <w:t>原始数据、批次和过程分组基础不足，尚未形成系统化SPC。</w:t>
            </w:r>
          </w:p>
        </w:tc>
        <w:tc>
          <w:tcPr>
            <w:tcW w:w="4392" w:type="dxa"/>
            <w:vAlign w:val="center"/>
          </w:tcPr>
          <w:p w14:paraId="626BFC61">
            <w:pPr>
              <w:spacing w:before="40" w:after="40" w:line="280" w:lineRule="exact"/>
            </w:pPr>
            <w:r>
              <w:rPr>
                <w:rFonts w:ascii="Arial Unicode MS" w:hAnsi="Arial Unicode MS" w:eastAsia="Arial Unicode MS"/>
                <w:b w:val="0"/>
                <w:color w:val="000000"/>
                <w:sz w:val="20"/>
              </w:rPr>
              <w:t>难把事后检验记录持续转化为稳定的过程波动与改善分析。</w:t>
            </w:r>
          </w:p>
        </w:tc>
      </w:tr>
      <w:tr w14:paraId="7BFDCE0F">
        <w:trPr>
          <w:cantSplit/>
          <w:jc w:val="center"/>
        </w:trPr>
        <w:tc>
          <w:tcPr>
            <w:tcW w:w="1224" w:type="dxa"/>
            <w:shd w:val="clear" w:color="auto" w:fill="F1F5F8"/>
            <w:vAlign w:val="center"/>
          </w:tcPr>
          <w:p w14:paraId="4BA7C9D6">
            <w:pPr>
              <w:spacing w:before="40" w:after="40" w:line="280" w:lineRule="exact"/>
              <w:jc w:val="center"/>
            </w:pPr>
            <w:r>
              <w:rPr>
                <w:rFonts w:ascii="Arial Unicode MS" w:hAnsi="Arial Unicode MS" w:eastAsia="Arial Unicode MS"/>
                <w:b w:val="0"/>
                <w:color w:val="000000"/>
                <w:sz w:val="20"/>
              </w:rPr>
              <w:t>D07-P08</w:t>
            </w:r>
          </w:p>
        </w:tc>
        <w:tc>
          <w:tcPr>
            <w:tcW w:w="4392" w:type="dxa"/>
            <w:shd w:val="clear" w:color="auto" w:fill="F1F5F8"/>
            <w:vAlign w:val="center"/>
          </w:tcPr>
          <w:p w14:paraId="5DC75159">
            <w:pPr>
              <w:spacing w:before="40" w:after="40" w:line="280" w:lineRule="exact"/>
            </w:pPr>
            <w:r>
              <w:rPr>
                <w:rFonts w:ascii="Arial Unicode MS" w:hAnsi="Arial Unicode MS" w:eastAsia="Arial Unicode MS"/>
                <w:b w:val="0"/>
                <w:color w:val="000000"/>
                <w:sz w:val="20"/>
              </w:rPr>
              <w:t>人工排检依赖多表及临时通知，变更不持续回写，非标准送检与检后交接分散。</w:t>
            </w:r>
          </w:p>
        </w:tc>
        <w:tc>
          <w:tcPr>
            <w:tcW w:w="4392" w:type="dxa"/>
            <w:shd w:val="clear" w:color="auto" w:fill="F1F5F8"/>
            <w:vAlign w:val="center"/>
          </w:tcPr>
          <w:p w14:paraId="52891FF6">
            <w:pPr>
              <w:spacing w:before="40" w:after="40" w:line="280" w:lineRule="exact"/>
            </w:pPr>
            <w:r>
              <w:rPr>
                <w:rFonts w:ascii="Arial Unicode MS" w:hAnsi="Arial Unicode MS" w:eastAsia="Arial Unicode MS"/>
                <w:b w:val="0"/>
                <w:color w:val="000000"/>
                <w:sz w:val="20"/>
              </w:rPr>
              <w:t>优先级、待检积压与实际负荷难一致，难区分排队、检验和入库等待。</w:t>
            </w:r>
          </w:p>
        </w:tc>
      </w:tr>
    </w:tbl>
    <w:p w14:paraId="12D3B918">
      <w:pPr>
        <w:spacing w:before="20" w:after="20" w:line="120" w:lineRule="auto"/>
      </w:pPr>
    </w:p>
    <w:p w14:paraId="53A35B96">
      <w:pPr>
        <w:pStyle w:val="4"/>
        <w:pageBreakBefore w:val="0"/>
      </w:pPr>
      <w:bookmarkStart w:id="10" w:name="topic_D08"/>
      <w:r>
        <w:rPr>
          <w:rFonts w:ascii="Arial Unicode MS" w:hAnsi="Arial Unicode MS" w:eastAsia="Arial Unicode MS"/>
          <w:b/>
          <w:color w:val="000000"/>
        </w:rPr>
        <w:t>专题D08 设备 工装 能源与自动化</w:t>
      </w:r>
      <w:bookmarkEnd w:id="10"/>
    </w:p>
    <w:p w14:paraId="4E6E0CF5">
      <w:pPr>
        <w:keepNext/>
      </w:pPr>
      <w:r>
        <w:rPr>
          <w:rFonts w:ascii="Arial Unicode MS" w:hAnsi="Arial Unicode MS" w:eastAsia="Arial Unicode MS"/>
          <w:color w:val="000000"/>
        </w:rPr>
        <w:t>业务协作责任位 AR567、AR562、AR56、AR2435；相关协作责任位 AR87、AR562文控职能、AR6</w:t>
      </w:r>
    </w:p>
    <w:p w14:paraId="6A1D81DB">
      <w:pPr>
        <w:keepNext/>
      </w:pPr>
      <w:r>
        <w:rPr>
          <w:rFonts w:ascii="Arial Unicode MS" w:hAnsi="Arial Unicode MS" w:eastAsia="Arial Unicode MS"/>
          <w:color w:val="000000"/>
        </w:rPr>
        <w:t>资料来源 S01 S04 S06 S06T S11 S15 S15T S21 S21T</w:t>
      </w:r>
    </w:p>
    <w:p w14:paraId="3D89084C">
      <w:pPr>
        <w:pStyle w:val="5"/>
        <w:pageBreakBefore w:val="0"/>
      </w:pPr>
      <w:r>
        <w:rPr>
          <w:rFonts w:ascii="Arial Unicode MS" w:hAnsi="Arial Unicode MS" w:eastAsia="Arial Unicode MS"/>
          <w:b/>
          <w:color w:val="000000"/>
        </w:rPr>
        <w:t>业务对象与运行结论</w:t>
      </w:r>
    </w:p>
    <w:p w14:paraId="18A9301E">
      <w:r>
        <w:rPr>
          <w:rFonts w:ascii="Arial Unicode MS" w:hAnsi="Arial Unicode MS" w:eastAsia="Arial Unicode MS"/>
          <w:color w:val="000000"/>
        </w:rPr>
        <w:t>对象包括机加设备、装配夹治具、测试台架、上位机、扭力批/扭力扳手、高度规及相关程序。测试工装具有通用性，型号差异主要由产测软件配置处理；装配依赖人工操作和离线测量。设备业务编号与资产编号存在不同编码，不直接参与工艺路线分配。</w:t>
      </w:r>
    </w:p>
    <w:p w14:paraId="343AA673">
      <w:r>
        <w:rPr>
          <w:rFonts w:ascii="Arial Unicode MS" w:hAnsi="Arial Unicode MS" w:eastAsia="Arial Unicode MS"/>
          <w:color w:val="000000"/>
        </w:rPr>
        <w:t>现场呈现测试环节自动化较成熟、装配环节人工为主的结构特点，缺口集中在设备结果与制造业务关联、资源适用关系及维护记录统一，而非测试控制功能。应先将已具备自动化能力的测试软件与MES打通，完成结果采集和产品关联；再按关键资源风险建立基本台账与校准/点检关联，设备自动化和维护深化依据实际业务价值逐步实施。</w:t>
      </w:r>
    </w:p>
    <w:p w14:paraId="25C5F222">
      <w:pPr>
        <w:keepNext/>
        <w:spacing w:after="60" w:line="240" w:lineRule="auto"/>
        <w:jc w:val="center"/>
      </w:pPr>
      <w:r>
        <w:drawing>
          <wp:inline distT="0" distB="0" distL="114300" distR="114300">
            <wp:extent cx="6400800" cy="1410970"/>
            <wp:effectExtent l="0" t="0" r="0" b="11430"/>
            <wp:docPr id="9" name="Picture 9" descr="图9 D08业务流程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图9 D08业务流程概述"/>
                    <pic:cNvPicPr>
                      <a:picLocks noChangeAspect="1"/>
                    </pic:cNvPicPr>
                  </pic:nvPicPr>
                  <pic:blipFill>
                    <a:blip r:embed="rId16"/>
                    <a:stretch>
                      <a:fillRect/>
                    </a:stretch>
                  </pic:blipFill>
                  <pic:spPr>
                    <a:xfrm>
                      <a:off x="0" y="0"/>
                      <a:ext cx="6400800" cy="1411085"/>
                    </a:xfrm>
                    <a:prstGeom prst="rect">
                      <a:avLst/>
                    </a:prstGeom>
                  </pic:spPr>
                </pic:pic>
              </a:graphicData>
            </a:graphic>
          </wp:inline>
        </w:drawing>
      </w:r>
    </w:p>
    <w:p w14:paraId="12FDDB70">
      <w:pPr>
        <w:spacing w:after="180"/>
        <w:jc w:val="center"/>
      </w:pPr>
      <w:r>
        <w:rPr>
          <w:rFonts w:ascii="Arial Unicode MS" w:hAnsi="Arial Unicode MS" w:eastAsia="Arial Unicode MS"/>
          <w:color w:val="000000"/>
          <w:sz w:val="20"/>
        </w:rPr>
        <w:t>图9 D08业务流程概述</w:t>
      </w:r>
    </w:p>
    <w:p w14:paraId="4496A45A">
      <w:pPr>
        <w:pStyle w:val="5"/>
        <w:pageBreakBefore w:val="0"/>
      </w:pPr>
      <w:r>
        <w:rPr>
          <w:rFonts w:ascii="Arial Unicode MS" w:hAnsi="Arial Unicode MS" w:eastAsia="Arial Unicode MS"/>
          <w:b/>
          <w:color w:val="000000"/>
        </w:rPr>
        <w:t>常规及特殊业务规则</w:t>
      </w:r>
    </w:p>
    <w:p w14:paraId="544966BA">
      <w:r>
        <w:rPr>
          <w:rFonts w:ascii="Arial Unicode MS" w:hAnsi="Arial Unicode MS" w:eastAsia="Arial Unicode MS"/>
          <w:color w:val="000000"/>
        </w:rPr>
        <w:t>eTuner按工序划分软件分支，包含烧录、注册校准、空载及负载等测试，型号配置、参数、固件和测试步骤由软件完整控制；可用版本由现有发布平台提供，非强制升级，多版本共存。测试台架能够根据既有记录识别已完成节点，产品转到另一台架可接续测试；MES仍应同步对应任务、产品和异常状态。</w:t>
      </w:r>
    </w:p>
    <w:p w14:paraId="599E5DAF">
      <w:r>
        <w:rPr>
          <w:rFonts w:ascii="Arial Unicode MS" w:hAnsi="Arial Unicode MS" w:eastAsia="Arial Unicode MS"/>
          <w:color w:val="000000"/>
        </w:rPr>
        <w:t>机加设备已有保养规范；装配线的小型夹具及设备主要在不能继续使用时处理。扭力工具由产线定期自行校准并保留记录。质量计量设备按年委托第三方校准并取得证书，部分量具有编号。高度规等离线量具尚未联网，原始数据初期可规范人工录入，自动采集按适用性分步接入。</w:t>
      </w:r>
    </w:p>
    <w:p w14:paraId="7EDFFD9A">
      <w:r>
        <w:rPr>
          <w:rFonts w:ascii="Arial Unicode MS" w:hAnsi="Arial Unicode MS" w:eastAsia="Arial Unicode MS"/>
          <w:color w:val="000000"/>
        </w:rPr>
        <w:t>资源扩充后的路线和设备适用性由AR562衔接AR2的产品技术要求。现有设备编码主要用于现场识别，产品、工序、资源和作业记录之间仍需建立可复用的结构化关联。</w:t>
      </w:r>
    </w:p>
    <w:p w14:paraId="6559DB1E">
      <w:r>
        <w:rPr>
          <w:rFonts w:ascii="Arial Unicode MS" w:hAnsi="Arial Unicode MS" w:eastAsia="Arial Unicode MS"/>
          <w:color w:val="000000"/>
        </w:rPr>
        <w:t>机加工补充访谈当时涉及4台设备及约5款常用产品，其他可加工品类亦可安排；该数量仅反映受访范围，不代表全厂资产及产能。已有局部工时参考，后续应按设备身份、工艺、适用产品与切换条件核实能力，不能仅凭单项加工时间推定全面OEE或设备联网能力。</w:t>
      </w:r>
    </w:p>
    <w:p w14:paraId="3DFB6BB1">
      <w:pPr>
        <w:pStyle w:val="5"/>
        <w:pageBreakBefore w:val="0"/>
      </w:pPr>
      <w:r>
        <w:rPr>
          <w:rFonts w:ascii="Arial Unicode MS" w:hAnsi="Arial Unicode MS" w:eastAsia="Arial Unicode MS"/>
          <w:b/>
          <w:color w:val="000000"/>
        </w:rPr>
        <w:t>系统与数字化现状</w:t>
      </w:r>
    </w:p>
    <w:p w14:paraId="7506358B">
      <w:r>
        <w:rPr>
          <w:rFonts w:ascii="Arial Unicode MS" w:hAnsi="Arial Unicode MS" w:eastAsia="Arial Unicode MS"/>
          <w:color w:val="000000"/>
        </w:rPr>
        <w:t>自动测试已实现，但结果本地保存、旧MES上传、纸质转录并存；初测接口仅能获得SN，型号和模组版本无法完整获取，限制自动匹配信息链。软件版本与测试结果尚缺统一查询关联，历史bug与兼容需求使旧版本持续保留。</w:t>
      </w:r>
    </w:p>
    <w:p w14:paraId="0DB5A493">
      <w:r>
        <w:rPr>
          <w:rFonts w:ascii="Arial Unicode MS" w:hAnsi="Arial Unicode MS" w:eastAsia="Arial Unicode MS"/>
          <w:color w:val="000000"/>
        </w:rPr>
        <w:t>基础台账、文控及校准记录已有局部管理，但日常检验与实际使用量具之间关联不足。应优先建立关键资源身份、适用范围和有效状态，在必要测量节点记录实际资源；同时接入产测软件，保留实际台架、软件、原始时间，支持断网补传与重复识别。</w:t>
      </w:r>
    </w:p>
    <w:p w14:paraId="4DDA007F">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325"/>
        <w:gridCol w:w="4853"/>
        <w:gridCol w:w="3902"/>
      </w:tblGrid>
      <w:tr w14:paraId="55E59EBF">
        <w:trPr>
          <w:cantSplit/>
          <w:tblHeader/>
          <w:jc w:val="center"/>
        </w:trPr>
        <w:tc>
          <w:tcPr>
            <w:tcW w:w="1325" w:type="dxa"/>
            <w:shd w:val="clear" w:color="auto" w:fill="234A68"/>
            <w:vAlign w:val="center"/>
          </w:tcPr>
          <w:p w14:paraId="2BDB17D9">
            <w:pPr>
              <w:keepNext/>
              <w:spacing w:before="30" w:after="30" w:line="29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46B64357">
            <w:pPr>
              <w:keepNext/>
              <w:spacing w:before="30" w:after="30" w:line="290" w:lineRule="exact"/>
            </w:pPr>
            <w:r>
              <w:rPr>
                <w:rFonts w:ascii="Arial Unicode MS" w:hAnsi="Arial Unicode MS" w:eastAsia="Arial Unicode MS"/>
                <w:b/>
                <w:color w:val="FFFFFF"/>
                <w:sz w:val="20"/>
              </w:rPr>
              <w:t>问题</w:t>
            </w:r>
          </w:p>
        </w:tc>
        <w:tc>
          <w:tcPr>
            <w:tcW w:w="3902" w:type="dxa"/>
            <w:shd w:val="clear" w:color="auto" w:fill="234A68"/>
            <w:vAlign w:val="center"/>
          </w:tcPr>
          <w:p w14:paraId="03026D82">
            <w:pPr>
              <w:keepNext/>
              <w:spacing w:before="30" w:after="30" w:line="290" w:lineRule="exact"/>
            </w:pPr>
            <w:r>
              <w:rPr>
                <w:rFonts w:ascii="Arial Unicode MS" w:hAnsi="Arial Unicode MS" w:eastAsia="Arial Unicode MS"/>
                <w:b/>
                <w:color w:val="FFFFFF"/>
                <w:sz w:val="20"/>
              </w:rPr>
              <w:t>业务影响</w:t>
            </w:r>
          </w:p>
        </w:tc>
      </w:tr>
      <w:tr w14:paraId="2204359B">
        <w:trPr>
          <w:cantSplit/>
          <w:jc w:val="center"/>
        </w:trPr>
        <w:tc>
          <w:tcPr>
            <w:tcW w:w="1325" w:type="dxa"/>
            <w:vAlign w:val="center"/>
          </w:tcPr>
          <w:p w14:paraId="1CD22729">
            <w:pPr>
              <w:spacing w:before="30" w:after="30" w:line="290" w:lineRule="exact"/>
              <w:jc w:val="center"/>
            </w:pPr>
            <w:r>
              <w:rPr>
                <w:rFonts w:ascii="Arial Unicode MS" w:hAnsi="Arial Unicode MS" w:eastAsia="Arial Unicode MS"/>
                <w:b w:val="0"/>
                <w:color w:val="000000"/>
                <w:sz w:val="20"/>
              </w:rPr>
              <w:t>D08-P01</w:t>
            </w:r>
          </w:p>
        </w:tc>
        <w:tc>
          <w:tcPr>
            <w:tcW w:w="4853" w:type="dxa"/>
            <w:vAlign w:val="center"/>
          </w:tcPr>
          <w:p w14:paraId="6819F973">
            <w:pPr>
              <w:spacing w:before="30" w:after="30" w:line="290" w:lineRule="exact"/>
            </w:pPr>
            <w:r>
              <w:rPr>
                <w:rFonts w:ascii="Arial Unicode MS" w:hAnsi="Arial Unicode MS" w:eastAsia="Arial Unicode MS"/>
                <w:b w:val="0"/>
                <w:color w:val="000000"/>
                <w:sz w:val="20"/>
              </w:rPr>
              <w:t>装配离线量具及关键资源数据缺少统一采集与使用关联。</w:t>
            </w:r>
          </w:p>
        </w:tc>
        <w:tc>
          <w:tcPr>
            <w:tcW w:w="3902" w:type="dxa"/>
            <w:vAlign w:val="center"/>
          </w:tcPr>
          <w:p w14:paraId="054BA7EF">
            <w:pPr>
              <w:spacing w:before="30" w:after="30" w:line="290" w:lineRule="exact"/>
            </w:pPr>
            <w:r>
              <w:rPr>
                <w:rFonts w:ascii="Arial Unicode MS" w:hAnsi="Arial Unicode MS" w:eastAsia="Arial Unicode MS"/>
                <w:b w:val="0"/>
                <w:color w:val="000000"/>
                <w:sz w:val="20"/>
              </w:rPr>
              <w:t>测量数据需转录，实际使用资源难从工单直接查询。</w:t>
            </w:r>
          </w:p>
        </w:tc>
      </w:tr>
      <w:tr w14:paraId="23885337">
        <w:trPr>
          <w:cantSplit/>
          <w:jc w:val="center"/>
        </w:trPr>
        <w:tc>
          <w:tcPr>
            <w:tcW w:w="1325" w:type="dxa"/>
            <w:shd w:val="clear" w:color="auto" w:fill="F1F5F8"/>
            <w:vAlign w:val="center"/>
          </w:tcPr>
          <w:p w14:paraId="5074EC38">
            <w:pPr>
              <w:spacing w:before="30" w:after="30" w:line="290" w:lineRule="exact"/>
              <w:jc w:val="center"/>
            </w:pPr>
            <w:r>
              <w:rPr>
                <w:rFonts w:ascii="Arial Unicode MS" w:hAnsi="Arial Unicode MS" w:eastAsia="Arial Unicode MS"/>
                <w:b w:val="0"/>
                <w:color w:val="000000"/>
                <w:sz w:val="20"/>
              </w:rPr>
              <w:t>D08-P02</w:t>
            </w:r>
          </w:p>
        </w:tc>
        <w:tc>
          <w:tcPr>
            <w:tcW w:w="4853" w:type="dxa"/>
            <w:shd w:val="clear" w:color="auto" w:fill="F1F5F8"/>
            <w:vAlign w:val="center"/>
          </w:tcPr>
          <w:p w14:paraId="1E089ECB">
            <w:pPr>
              <w:spacing w:before="30" w:after="30" w:line="290" w:lineRule="exact"/>
            </w:pPr>
            <w:r>
              <w:rPr>
                <w:rFonts w:ascii="Arial Unicode MS" w:hAnsi="Arial Unicode MS" w:eastAsia="Arial Unicode MS"/>
                <w:b w:val="0"/>
                <w:color w:val="000000"/>
                <w:sz w:val="20"/>
              </w:rPr>
              <w:t>设备/工装识别、文控版本、工艺适用及校准记录分别管理</w:t>
            </w:r>
          </w:p>
        </w:tc>
        <w:tc>
          <w:tcPr>
            <w:tcW w:w="3902" w:type="dxa"/>
            <w:shd w:val="clear" w:color="auto" w:fill="F1F5F8"/>
            <w:vAlign w:val="center"/>
          </w:tcPr>
          <w:p w14:paraId="56F17C73">
            <w:pPr>
              <w:spacing w:before="30" w:after="30" w:line="290" w:lineRule="exact"/>
            </w:pPr>
            <w:r>
              <w:rPr>
                <w:rFonts w:ascii="Arial Unicode MS" w:hAnsi="Arial Unicode MS" w:eastAsia="Arial Unicode MS"/>
                <w:b w:val="0"/>
                <w:color w:val="000000"/>
                <w:sz w:val="20"/>
              </w:rPr>
              <w:t>难从工单直接查询适用资源，也难按产品还原实际使用的设备/工具条件</w:t>
            </w:r>
          </w:p>
        </w:tc>
      </w:tr>
      <w:tr w14:paraId="1B74144D">
        <w:trPr>
          <w:cantSplit/>
          <w:jc w:val="center"/>
        </w:trPr>
        <w:tc>
          <w:tcPr>
            <w:tcW w:w="1325" w:type="dxa"/>
            <w:vAlign w:val="center"/>
          </w:tcPr>
          <w:p w14:paraId="177093AF">
            <w:pPr>
              <w:spacing w:before="30" w:after="30" w:line="290" w:lineRule="exact"/>
              <w:jc w:val="center"/>
            </w:pPr>
            <w:r>
              <w:rPr>
                <w:rFonts w:ascii="Arial Unicode MS" w:hAnsi="Arial Unicode MS" w:eastAsia="Arial Unicode MS"/>
                <w:b w:val="0"/>
                <w:color w:val="000000"/>
                <w:sz w:val="20"/>
              </w:rPr>
              <w:t>D08-P03</w:t>
            </w:r>
          </w:p>
        </w:tc>
        <w:tc>
          <w:tcPr>
            <w:tcW w:w="4853" w:type="dxa"/>
            <w:vAlign w:val="center"/>
          </w:tcPr>
          <w:p w14:paraId="0533446B">
            <w:pPr>
              <w:spacing w:before="30" w:after="30" w:line="290" w:lineRule="exact"/>
            </w:pPr>
            <w:r>
              <w:rPr>
                <w:rFonts w:ascii="Arial Unicode MS" w:hAnsi="Arial Unicode MS" w:eastAsia="Arial Unicode MS"/>
                <w:b w:val="0"/>
                <w:color w:val="000000"/>
                <w:sz w:val="20"/>
              </w:rPr>
              <w:t>产测软件多版本共存，实际使用版本与资源运行条件记录分散。</w:t>
            </w:r>
          </w:p>
        </w:tc>
        <w:tc>
          <w:tcPr>
            <w:tcW w:w="3902" w:type="dxa"/>
            <w:vAlign w:val="center"/>
          </w:tcPr>
          <w:p w14:paraId="2C6563D4">
            <w:pPr>
              <w:spacing w:before="30" w:after="30" w:line="290" w:lineRule="exact"/>
            </w:pPr>
            <w:r>
              <w:rPr>
                <w:rFonts w:ascii="Arial Unicode MS" w:hAnsi="Arial Unicode MS" w:eastAsia="Arial Unicode MS"/>
                <w:b w:val="0"/>
                <w:color w:val="000000"/>
                <w:sz w:val="20"/>
              </w:rPr>
              <w:t>版本适用和历史运行条件难集中核查。</w:t>
            </w:r>
          </w:p>
        </w:tc>
      </w:tr>
      <w:tr w14:paraId="2753C44F">
        <w:trPr>
          <w:cantSplit/>
          <w:jc w:val="center"/>
        </w:trPr>
        <w:tc>
          <w:tcPr>
            <w:tcW w:w="1325" w:type="dxa"/>
            <w:shd w:val="clear" w:color="auto" w:fill="F1F5F8"/>
            <w:vAlign w:val="center"/>
          </w:tcPr>
          <w:p w14:paraId="0325F80D">
            <w:pPr>
              <w:spacing w:before="30" w:after="30" w:line="290" w:lineRule="exact"/>
              <w:jc w:val="center"/>
            </w:pPr>
            <w:r>
              <w:rPr>
                <w:rFonts w:ascii="Arial Unicode MS" w:hAnsi="Arial Unicode MS" w:eastAsia="Arial Unicode MS"/>
                <w:b w:val="0"/>
                <w:color w:val="000000"/>
                <w:sz w:val="20"/>
              </w:rPr>
              <w:t>D08-P04</w:t>
            </w:r>
          </w:p>
        </w:tc>
        <w:tc>
          <w:tcPr>
            <w:tcW w:w="4853" w:type="dxa"/>
            <w:shd w:val="clear" w:color="auto" w:fill="F1F5F8"/>
            <w:vAlign w:val="center"/>
          </w:tcPr>
          <w:p w14:paraId="1D3E63A4">
            <w:pPr>
              <w:spacing w:before="30" w:after="30" w:line="290" w:lineRule="exact"/>
            </w:pPr>
            <w:r>
              <w:rPr>
                <w:rFonts w:ascii="Arial Unicode MS" w:hAnsi="Arial Unicode MS" w:eastAsia="Arial Unicode MS"/>
                <w:b w:val="0"/>
                <w:color w:val="000000"/>
                <w:sz w:val="20"/>
              </w:rPr>
              <w:t>维护规范覆盖和执行记录尚未形成统一管理</w:t>
            </w:r>
          </w:p>
        </w:tc>
        <w:tc>
          <w:tcPr>
            <w:tcW w:w="3902" w:type="dxa"/>
            <w:shd w:val="clear" w:color="auto" w:fill="F1F5F8"/>
            <w:vAlign w:val="center"/>
          </w:tcPr>
          <w:p w14:paraId="49B4A514">
            <w:pPr>
              <w:spacing w:before="30" w:after="30" w:line="290" w:lineRule="exact"/>
            </w:pPr>
            <w:r>
              <w:rPr>
                <w:rFonts w:ascii="Arial Unicode MS" w:hAnsi="Arial Unicode MS" w:eastAsia="Arial Unicode MS"/>
                <w:b w:val="0"/>
                <w:color w:val="000000"/>
                <w:sz w:val="20"/>
              </w:rPr>
              <w:t>关键设备/工装的维护状况难集中掌握，异常停机与质量影响难关联分析</w:t>
            </w:r>
          </w:p>
        </w:tc>
      </w:tr>
    </w:tbl>
    <w:p w14:paraId="3C987911">
      <w:pPr>
        <w:spacing w:before="20" w:after="20" w:line="120" w:lineRule="auto"/>
      </w:pPr>
    </w:p>
    <w:p w14:paraId="5BF209D9">
      <w:pPr>
        <w:pStyle w:val="4"/>
        <w:pageBreakBefore w:val="0"/>
      </w:pPr>
      <w:bookmarkStart w:id="11" w:name="topic_D09"/>
      <w:r>
        <w:rPr>
          <w:rFonts w:ascii="Arial Unicode MS" w:hAnsi="Arial Unicode MS" w:eastAsia="Arial Unicode MS"/>
          <w:b/>
          <w:color w:val="000000"/>
        </w:rPr>
        <w:t>专题D09 成本 绩效与经营分析</w:t>
      </w:r>
      <w:bookmarkEnd w:id="11"/>
    </w:p>
    <w:p w14:paraId="66C17F9C">
      <w:pPr>
        <w:keepNext/>
      </w:pPr>
      <w:r>
        <w:rPr>
          <w:rFonts w:ascii="Arial Unicode MS" w:hAnsi="Arial Unicode MS" w:eastAsia="Arial Unicode MS"/>
          <w:color w:val="000000"/>
        </w:rPr>
        <w:t>业务协作责任位 AR5、AR4、AR51、AR56、AR53、AR6、AR8</w:t>
      </w:r>
    </w:p>
    <w:p w14:paraId="4147264C">
      <w:pPr>
        <w:keepNext/>
      </w:pPr>
      <w:r>
        <w:rPr>
          <w:rFonts w:ascii="Arial Unicode MS" w:hAnsi="Arial Unicode MS" w:eastAsia="Arial Unicode MS"/>
          <w:color w:val="000000"/>
        </w:rPr>
        <w:t>资料来源 S01 S04 S05 S10 S11 S15 S15T S19 S19T S20 S20T S21 S21T</w:t>
      </w:r>
    </w:p>
    <w:p w14:paraId="5A281591">
      <w:pPr>
        <w:pStyle w:val="5"/>
        <w:pageBreakBefore w:val="0"/>
      </w:pPr>
      <w:r>
        <w:rPr>
          <w:rFonts w:ascii="Arial Unicode MS" w:hAnsi="Arial Unicode MS" w:eastAsia="Arial Unicode MS"/>
          <w:b/>
          <w:color w:val="000000"/>
        </w:rPr>
        <w:t>业务对象与运行结论</w:t>
      </w:r>
    </w:p>
    <w:p w14:paraId="6D5C87ED">
      <w:r>
        <w:rPr>
          <w:rFonts w:ascii="Arial Unicode MS" w:hAnsi="Arial Unicode MS" w:eastAsia="Arial Unicode MS"/>
          <w:color w:val="000000"/>
        </w:rPr>
        <w:t>分析对象包括订单交付、工单达成、人员工作量、在制、测试与不良、库存及耗用。员工日报、ERP单据、产测软件和纸面记录分别保留部分制造运营数据，统一对象与时间口径是后续共同分析的基础。</w:t>
      </w:r>
    </w:p>
    <w:p w14:paraId="33658BBE">
      <w:r>
        <w:rPr>
          <w:rFonts w:ascii="Arial Unicode MS" w:hAnsi="Arial Unicode MS" w:eastAsia="Arial Unicode MS"/>
          <w:color w:val="000000"/>
        </w:rPr>
        <w:t>制造与检验已有日报和局部标准参考，但实际事件、任务达成、标准工作量及质量结果尚未分层，数据又分散在ERP、旧MES、纸表和个人汇总中。先统一对象、时间、记录来源和统计算法，使指标可下钻核对，再开展效率、损失及改善分析，避免仅把线下重复统计搬到新系统。</w:t>
      </w:r>
    </w:p>
    <w:p w14:paraId="7AF121F5">
      <w:pPr>
        <w:keepNext/>
        <w:spacing w:after="60" w:line="240" w:lineRule="auto"/>
        <w:jc w:val="center"/>
      </w:pPr>
      <w:r>
        <w:drawing>
          <wp:inline distT="0" distB="0" distL="114300" distR="114300">
            <wp:extent cx="6400800" cy="668655"/>
            <wp:effectExtent l="0" t="0" r="0" b="17145"/>
            <wp:docPr id="10" name="Picture 10" descr="图10 D09现有经营数据来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图10 D09现有经营数据来源"/>
                    <pic:cNvPicPr>
                      <a:picLocks noChangeAspect="1"/>
                    </pic:cNvPicPr>
                  </pic:nvPicPr>
                  <pic:blipFill>
                    <a:blip r:embed="rId17"/>
                    <a:stretch>
                      <a:fillRect/>
                    </a:stretch>
                  </pic:blipFill>
                  <pic:spPr>
                    <a:xfrm>
                      <a:off x="0" y="0"/>
                      <a:ext cx="6400800" cy="669175"/>
                    </a:xfrm>
                    <a:prstGeom prst="rect">
                      <a:avLst/>
                    </a:prstGeom>
                  </pic:spPr>
                </pic:pic>
              </a:graphicData>
            </a:graphic>
          </wp:inline>
        </w:drawing>
      </w:r>
    </w:p>
    <w:p w14:paraId="486B353F">
      <w:pPr>
        <w:spacing w:after="180"/>
        <w:jc w:val="center"/>
      </w:pPr>
      <w:r>
        <w:rPr>
          <w:rFonts w:ascii="Arial Unicode MS" w:hAnsi="Arial Unicode MS" w:eastAsia="Arial Unicode MS"/>
          <w:color w:val="000000"/>
          <w:sz w:val="20"/>
        </w:rPr>
        <w:t>图10 D09现有经营数据来源</w:t>
      </w:r>
    </w:p>
    <w:p w14:paraId="5FDA45A0">
      <w:pPr>
        <w:pStyle w:val="5"/>
        <w:pageBreakBefore w:val="0"/>
      </w:pPr>
      <w:r>
        <w:rPr>
          <w:rFonts w:ascii="Arial Unicode MS" w:hAnsi="Arial Unicode MS" w:eastAsia="Arial Unicode MS"/>
          <w:b/>
          <w:color w:val="000000"/>
        </w:rPr>
        <w:t>常规及特殊业务规则</w:t>
      </w:r>
    </w:p>
    <w:p w14:paraId="28BA1F45">
      <w:r>
        <w:rPr>
          <w:rFonts w:ascii="Arial Unicode MS" w:hAnsi="Arial Unicode MS" w:eastAsia="Arial Unicode MS"/>
          <w:color w:val="000000"/>
        </w:rPr>
        <w:t>员工日报用于工作量统计，生产有局部工时和岗位产量参考，检验按物料数量及系数折算标准工作量，并区分计件和计时。标准工作量包含内部目标因素，不等同实际分钟或可用工时；不同型号、多人协作、跨线支援、维修及工艺等待需分别解释。应复用作业事件减少重复填报，完整薪酬核算和统一个人定额另行评价。</w:t>
      </w:r>
    </w:p>
    <w:p w14:paraId="2656C0F8">
      <w:r>
        <w:rPr>
          <w:rFonts w:ascii="Arial Unicode MS" w:hAnsi="Arial Unicode MS" w:eastAsia="Arial Unicode MS"/>
          <w:color w:val="000000"/>
        </w:rPr>
        <w:t>质量有日常检验任务、完成量和未完成原因统计。原始批次记录跨日检验后多次附入日报，需按实际发生日统计工作量，并以批次及记录主键保留唯一来源。任务达成、送检量、抽检/实检量、判定、缺陷、返工复测和客诉分别定义；月度按工位及来料/制程分类的不良需求应关联原事件，审批条数不能直接计算产品一次合格率。</w:t>
      </w:r>
    </w:p>
    <w:p w14:paraId="7B7DA230">
      <w:r>
        <w:rPr>
          <w:rFonts w:ascii="Arial Unicode MS" w:hAnsi="Arial Unicode MS" w:eastAsia="Arial Unicode MS"/>
          <w:color w:val="000000"/>
        </w:rPr>
        <w:t>仓储由AR4组织抽盘和审批调账，仓库端未持续统计周转率等指标。经营入库目标与ERP过账、包装及实物接收存在不同事件，应统一统计口径。</w:t>
      </w:r>
    </w:p>
    <w:p w14:paraId="49E9B7A3">
      <w:pPr>
        <w:pStyle w:val="5"/>
        <w:pageBreakBefore w:val="0"/>
      </w:pPr>
      <w:r>
        <w:rPr>
          <w:rFonts w:ascii="Arial Unicode MS" w:hAnsi="Arial Unicode MS" w:eastAsia="Arial Unicode MS"/>
          <w:b/>
          <w:color w:val="000000"/>
        </w:rPr>
        <w:t>系统与数字化现状</w:t>
      </w:r>
    </w:p>
    <w:p w14:paraId="5F427201">
      <w:r>
        <w:rPr>
          <w:rFonts w:ascii="Arial Unicode MS" w:hAnsi="Arial Unicode MS" w:eastAsia="Arial Unicode MS"/>
          <w:color w:val="000000"/>
        </w:rPr>
        <w:t>检验日报依赖纸面填报和人工汇总，原周月报自动处理依赖已停用的钉钉数据源，切换后不再适用，相关周月统计已中断数月。线上日报、自动汇总和周月报恢复为明确改善需求。生产与质量另有飞书审批数据统计诉求，尚需按批准数据源和定义归集；系统切换应同步交接报表输入、算法和责任，保证统计持续性。</w:t>
      </w:r>
    </w:p>
    <w:p w14:paraId="4C2CBE7B">
      <w:r>
        <w:rPr>
          <w:rFonts w:ascii="Arial Unicode MS" w:hAnsi="Arial Unicode MS" w:eastAsia="Arial Unicode MS"/>
          <w:color w:val="000000"/>
        </w:rPr>
        <w:t>材料领用、实际耗用、备品和客户配置差异影响过程数量的解释；返修与复测的过程记录也应保留，为成本和损失分析提供可核对的输入。</w:t>
      </w:r>
    </w:p>
    <w:p w14:paraId="4187A06B">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325"/>
        <w:gridCol w:w="4853"/>
        <w:gridCol w:w="3902"/>
      </w:tblGrid>
      <w:tr w14:paraId="0405BB98">
        <w:trPr>
          <w:cantSplit/>
          <w:tblHeader/>
          <w:jc w:val="center"/>
        </w:trPr>
        <w:tc>
          <w:tcPr>
            <w:tcW w:w="1325" w:type="dxa"/>
            <w:shd w:val="clear" w:color="auto" w:fill="234A68"/>
            <w:vAlign w:val="center"/>
          </w:tcPr>
          <w:p w14:paraId="1095B270">
            <w:pPr>
              <w:keepNext/>
              <w:spacing w:before="40" w:after="40" w:line="28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520F8CA7">
            <w:pPr>
              <w:keepNext/>
              <w:spacing w:before="40" w:after="40" w:line="280" w:lineRule="exact"/>
              <w:jc w:val="center"/>
            </w:pPr>
            <w:r>
              <w:rPr>
                <w:rFonts w:ascii="Arial Unicode MS" w:hAnsi="Arial Unicode MS" w:eastAsia="Arial Unicode MS"/>
                <w:b/>
                <w:color w:val="FFFFFF"/>
                <w:sz w:val="20"/>
              </w:rPr>
              <w:t>问题</w:t>
            </w:r>
          </w:p>
        </w:tc>
        <w:tc>
          <w:tcPr>
            <w:tcW w:w="3902" w:type="dxa"/>
            <w:shd w:val="clear" w:color="auto" w:fill="234A68"/>
            <w:vAlign w:val="center"/>
          </w:tcPr>
          <w:p w14:paraId="29F98CDD">
            <w:pPr>
              <w:keepNext/>
              <w:spacing w:before="40" w:after="40" w:line="280" w:lineRule="exact"/>
              <w:jc w:val="center"/>
            </w:pPr>
            <w:r>
              <w:rPr>
                <w:rFonts w:ascii="Arial Unicode MS" w:hAnsi="Arial Unicode MS" w:eastAsia="Arial Unicode MS"/>
                <w:b/>
                <w:color w:val="FFFFFF"/>
                <w:sz w:val="20"/>
              </w:rPr>
              <w:t>业务影响</w:t>
            </w:r>
          </w:p>
        </w:tc>
      </w:tr>
      <w:tr w14:paraId="0A8BE3FE">
        <w:trPr>
          <w:cantSplit/>
          <w:jc w:val="center"/>
        </w:trPr>
        <w:tc>
          <w:tcPr>
            <w:tcW w:w="1325" w:type="dxa"/>
            <w:vAlign w:val="center"/>
          </w:tcPr>
          <w:p w14:paraId="10C3E231">
            <w:pPr>
              <w:spacing w:before="40" w:after="40" w:line="280" w:lineRule="exact"/>
              <w:jc w:val="center"/>
            </w:pPr>
            <w:r>
              <w:rPr>
                <w:rFonts w:ascii="Arial Unicode MS" w:hAnsi="Arial Unicode MS" w:eastAsia="Arial Unicode MS"/>
                <w:b w:val="0"/>
                <w:color w:val="000000"/>
                <w:sz w:val="20"/>
              </w:rPr>
              <w:t>D09-P01</w:t>
            </w:r>
          </w:p>
        </w:tc>
        <w:tc>
          <w:tcPr>
            <w:tcW w:w="4853" w:type="dxa"/>
            <w:vAlign w:val="center"/>
          </w:tcPr>
          <w:p w14:paraId="39386906">
            <w:pPr>
              <w:spacing w:before="40" w:after="40" w:line="280" w:lineRule="exact"/>
            </w:pPr>
            <w:r>
              <w:rPr>
                <w:rFonts w:ascii="Arial Unicode MS" w:hAnsi="Arial Unicode MS" w:eastAsia="Arial Unicode MS"/>
                <w:b w:val="0"/>
                <w:color w:val="000000"/>
                <w:sz w:val="20"/>
              </w:rPr>
              <w:t>已调研制造过程指标缺少一致的对象 时间及数据来源口径。</w:t>
            </w:r>
          </w:p>
        </w:tc>
        <w:tc>
          <w:tcPr>
            <w:tcW w:w="3902" w:type="dxa"/>
            <w:vAlign w:val="center"/>
          </w:tcPr>
          <w:p w14:paraId="5681FB12">
            <w:pPr>
              <w:spacing w:before="40" w:after="40" w:line="280" w:lineRule="exact"/>
            </w:pPr>
            <w:r>
              <w:rPr>
                <w:rFonts w:ascii="Arial Unicode MS" w:hAnsi="Arial Unicode MS" w:eastAsia="Arial Unicode MS"/>
                <w:b w:val="0"/>
                <w:color w:val="000000"/>
                <w:sz w:val="20"/>
              </w:rPr>
              <w:t>部门数字难比较，改善效果及异常原因难持续评估。</w:t>
            </w:r>
          </w:p>
        </w:tc>
      </w:tr>
      <w:tr w14:paraId="7ADBA379">
        <w:trPr>
          <w:cantSplit/>
          <w:jc w:val="center"/>
        </w:trPr>
        <w:tc>
          <w:tcPr>
            <w:tcW w:w="1325" w:type="dxa"/>
            <w:shd w:val="clear" w:color="auto" w:fill="F1F5F8"/>
            <w:vAlign w:val="center"/>
          </w:tcPr>
          <w:p w14:paraId="50A97743">
            <w:pPr>
              <w:spacing w:before="40" w:after="40" w:line="280" w:lineRule="exact"/>
              <w:jc w:val="center"/>
            </w:pPr>
            <w:r>
              <w:rPr>
                <w:rFonts w:ascii="Arial Unicode MS" w:hAnsi="Arial Unicode MS" w:eastAsia="Arial Unicode MS"/>
                <w:b w:val="0"/>
                <w:color w:val="000000"/>
                <w:sz w:val="20"/>
              </w:rPr>
              <w:t>D09-P02</w:t>
            </w:r>
          </w:p>
        </w:tc>
        <w:tc>
          <w:tcPr>
            <w:tcW w:w="4853" w:type="dxa"/>
            <w:shd w:val="clear" w:color="auto" w:fill="F1F5F8"/>
            <w:vAlign w:val="center"/>
          </w:tcPr>
          <w:p w14:paraId="648A5AF4">
            <w:pPr>
              <w:spacing w:before="40" w:after="40" w:line="280" w:lineRule="exact"/>
            </w:pPr>
            <w:r>
              <w:rPr>
                <w:rFonts w:ascii="Arial Unicode MS" w:hAnsi="Arial Unicode MS" w:eastAsia="Arial Unicode MS"/>
                <w:b w:val="0"/>
                <w:color w:val="000000"/>
                <w:sz w:val="20"/>
              </w:rPr>
              <w:t>实际耗用 返修复测与工时等过程数据归集不足。</w:t>
            </w:r>
          </w:p>
        </w:tc>
        <w:tc>
          <w:tcPr>
            <w:tcW w:w="3902" w:type="dxa"/>
            <w:shd w:val="clear" w:color="auto" w:fill="F1F5F8"/>
            <w:vAlign w:val="center"/>
          </w:tcPr>
          <w:p w14:paraId="666D7C90">
            <w:pPr>
              <w:spacing w:before="40" w:after="40" w:line="280" w:lineRule="exact"/>
            </w:pPr>
            <w:r>
              <w:rPr>
                <w:rFonts w:ascii="Arial Unicode MS" w:hAnsi="Arial Unicode MS" w:eastAsia="Arial Unicode MS"/>
                <w:b w:val="0"/>
                <w:color w:val="000000"/>
                <w:sz w:val="20"/>
              </w:rPr>
              <w:t>细化产品及工序成本缺少可靠的制造过程输入。</w:t>
            </w:r>
          </w:p>
        </w:tc>
      </w:tr>
      <w:tr w14:paraId="37DA39B4">
        <w:trPr>
          <w:cantSplit/>
          <w:jc w:val="center"/>
        </w:trPr>
        <w:tc>
          <w:tcPr>
            <w:tcW w:w="1325" w:type="dxa"/>
            <w:vAlign w:val="center"/>
          </w:tcPr>
          <w:p w14:paraId="4A7B2F1E">
            <w:pPr>
              <w:spacing w:before="40" w:after="40" w:line="280" w:lineRule="exact"/>
              <w:jc w:val="center"/>
            </w:pPr>
            <w:r>
              <w:rPr>
                <w:rFonts w:ascii="Arial Unicode MS" w:hAnsi="Arial Unicode MS" w:eastAsia="Arial Unicode MS"/>
                <w:b w:val="0"/>
                <w:color w:val="000000"/>
                <w:sz w:val="20"/>
              </w:rPr>
              <w:t>D09-P03</w:t>
            </w:r>
          </w:p>
        </w:tc>
        <w:tc>
          <w:tcPr>
            <w:tcW w:w="4853" w:type="dxa"/>
            <w:vAlign w:val="center"/>
          </w:tcPr>
          <w:p w14:paraId="4BFE12B2">
            <w:pPr>
              <w:spacing w:before="40" w:after="40" w:line="280" w:lineRule="exact"/>
            </w:pPr>
            <w:r>
              <w:rPr>
                <w:rFonts w:ascii="Arial Unicode MS" w:hAnsi="Arial Unicode MS" w:eastAsia="Arial Unicode MS"/>
                <w:b w:val="0"/>
                <w:color w:val="000000"/>
                <w:sz w:val="20"/>
              </w:rPr>
              <w:t>检验日报重复转录，旧周月报自动处理因数据源切换失效，标准工作量与实际工时尚未分层。</w:t>
            </w:r>
          </w:p>
        </w:tc>
        <w:tc>
          <w:tcPr>
            <w:tcW w:w="3902" w:type="dxa"/>
            <w:vAlign w:val="center"/>
          </w:tcPr>
          <w:p w14:paraId="3A34B40C">
            <w:pPr>
              <w:spacing w:before="40" w:after="40" w:line="280" w:lineRule="exact"/>
            </w:pPr>
            <w:r>
              <w:rPr>
                <w:rFonts w:ascii="Arial Unicode MS" w:hAnsi="Arial Unicode MS" w:eastAsia="Arial Unicode MS"/>
                <w:b w:val="0"/>
                <w:color w:val="000000"/>
                <w:sz w:val="20"/>
              </w:rPr>
              <w:t>统计持续性不足，效率解释及改善效果缺少稳定可核对基线。</w:t>
            </w:r>
          </w:p>
        </w:tc>
      </w:tr>
    </w:tbl>
    <w:p w14:paraId="0B32E74F">
      <w:pPr>
        <w:spacing w:before="20" w:after="20" w:line="120" w:lineRule="auto"/>
      </w:pPr>
    </w:p>
    <w:p w14:paraId="295CBE20">
      <w:pPr>
        <w:pStyle w:val="4"/>
        <w:pageBreakBefore w:val="0"/>
      </w:pPr>
      <w:bookmarkStart w:id="12" w:name="topic_D10"/>
      <w:r>
        <w:rPr>
          <w:rFonts w:ascii="Arial Unicode MS" w:hAnsi="Arial Unicode MS" w:eastAsia="Arial Unicode MS"/>
          <w:b/>
          <w:color w:val="000000"/>
        </w:rPr>
        <w:t>专题D10 信息系统 数据与安全</w:t>
      </w:r>
      <w:bookmarkEnd w:id="12"/>
    </w:p>
    <w:p w14:paraId="2D76B7FB">
      <w:pPr>
        <w:keepNext/>
      </w:pPr>
      <w:r>
        <w:rPr>
          <w:rFonts w:ascii="Arial Unicode MS" w:hAnsi="Arial Unicode MS" w:eastAsia="Arial Unicode MS"/>
          <w:color w:val="000000"/>
        </w:rPr>
        <w:t>业务协作责任位 AR8、AR81、AR82、AR84、AR85、AR87、AR88，协作接口为AR2、AR56、AR51、AR53和AR562文控职能</w:t>
      </w:r>
    </w:p>
    <w:p w14:paraId="7586DBFC">
      <w:pPr>
        <w:keepNext/>
      </w:pPr>
      <w:r>
        <w:rPr>
          <w:rFonts w:ascii="Arial Unicode MS" w:hAnsi="Arial Unicode MS" w:eastAsia="Arial Unicode MS"/>
          <w:color w:val="000000"/>
        </w:rPr>
        <w:t>资料来源 S01 S02 S03 S04 S06 S10 S10T S11 S15 S15T S18 S18T S19 S19T S20 S20T</w:t>
      </w:r>
    </w:p>
    <w:p w14:paraId="7DCC00D9">
      <w:pPr>
        <w:pStyle w:val="5"/>
        <w:pageBreakBefore w:val="0"/>
      </w:pPr>
      <w:r>
        <w:rPr>
          <w:rFonts w:ascii="Arial Unicode MS" w:hAnsi="Arial Unicode MS" w:eastAsia="Arial Unicode MS"/>
          <w:b/>
          <w:color w:val="000000"/>
        </w:rPr>
        <w:t>业务对象与运行结论</w:t>
      </w:r>
    </w:p>
    <w:p w14:paraId="1F37E714">
      <w:r>
        <w:rPr>
          <w:rFonts w:ascii="Arial Unicode MS" w:hAnsi="Arial Unicode MS" w:eastAsia="Arial Unicode MS"/>
          <w:color w:val="000000"/>
        </w:rPr>
        <w:t>核心应用包括金蝶ERP、PLM、旧MES、钉钉/飞书协同流程、产测软件及计划自建程序；线下数据包括Excel、纸质流转/检验记录、本地测试文件和文控资料。制造数据跨产品、订单、工单、SN、物料、版本和质量状态流转，现有应用覆盖与业务边界尚未完全一致。</w:t>
      </w:r>
    </w:p>
    <w:p w14:paraId="22B066C0">
      <w:r>
        <w:rPr>
          <w:rFonts w:ascii="Arial Unicode MS" w:hAnsi="Arial Unicode MS" w:eastAsia="Arial Unicode MS"/>
          <w:color w:val="000000"/>
        </w:rPr>
        <w:t>企业已具备多套业务系统和部分自动采集能力，信息化程度高于完全手工作业；但应用之间、系统与现场之间缺少稳定的数据与流程闭环。旧MES交互、报表、集成和运维问题影响持续使用，重复录入及线下补充进一步削弱数据可信度。新MES替换应同时修复业务边界、统一对象及状态定义、建立接口与运维责任，并完成历史与在制连续性的安排。</w:t>
      </w:r>
    </w:p>
    <w:p w14:paraId="75DF3D12">
      <w:pPr>
        <w:keepNext/>
        <w:spacing w:after="60" w:line="240" w:lineRule="auto"/>
        <w:jc w:val="center"/>
      </w:pPr>
      <w:r>
        <w:drawing>
          <wp:inline distT="0" distB="0" distL="114300" distR="114300">
            <wp:extent cx="6400800" cy="1410970"/>
            <wp:effectExtent l="0" t="0" r="0" b="11430"/>
            <wp:docPr id="11" name="Picture 11" descr="图11 D10业务流程概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图11 D10业务流程概述"/>
                    <pic:cNvPicPr>
                      <a:picLocks noChangeAspect="1"/>
                    </pic:cNvPicPr>
                  </pic:nvPicPr>
                  <pic:blipFill>
                    <a:blip r:embed="rId18"/>
                    <a:stretch>
                      <a:fillRect/>
                    </a:stretch>
                  </pic:blipFill>
                  <pic:spPr>
                    <a:xfrm>
                      <a:off x="0" y="0"/>
                      <a:ext cx="6400800" cy="1411085"/>
                    </a:xfrm>
                    <a:prstGeom prst="rect">
                      <a:avLst/>
                    </a:prstGeom>
                  </pic:spPr>
                </pic:pic>
              </a:graphicData>
            </a:graphic>
          </wp:inline>
        </w:drawing>
      </w:r>
    </w:p>
    <w:p w14:paraId="6EB846E0">
      <w:pPr>
        <w:spacing w:after="180"/>
        <w:jc w:val="center"/>
      </w:pPr>
      <w:r>
        <w:rPr>
          <w:rFonts w:ascii="Arial Unicode MS" w:hAnsi="Arial Unicode MS" w:eastAsia="Arial Unicode MS"/>
          <w:color w:val="000000"/>
          <w:sz w:val="20"/>
        </w:rPr>
        <w:t>图11 D10业务流程概述</w:t>
      </w:r>
    </w:p>
    <w:p w14:paraId="39B270A7">
      <w:pPr>
        <w:pStyle w:val="5"/>
        <w:pageBreakBefore w:val="0"/>
      </w:pPr>
      <w:r>
        <w:rPr>
          <w:rFonts w:ascii="Arial Unicode MS" w:hAnsi="Arial Unicode MS" w:eastAsia="Arial Unicode MS"/>
          <w:b/>
          <w:color w:val="000000"/>
        </w:rPr>
        <w:t>常规及特殊业务规则</w:t>
      </w:r>
    </w:p>
    <w:p w14:paraId="221944F1">
      <w:r>
        <w:rPr>
          <w:rFonts w:ascii="Arial Unicode MS" w:hAnsi="Arial Unicode MS" w:eastAsia="Arial Unicode MS"/>
          <w:color w:val="000000"/>
        </w:rPr>
        <w:t>ERP承载物料、BOM及库存等主要业务单据，产测软件承担测试控制，AR562文控职能管理工艺文件，MES承担制造执行与产品记录。现有计划程序已通过API读取ERP BOM和库存，不宜将当前集成概括为全部依靠人工。接口缺口涉及业务生命周期：ERP删除或取消误单后，旧MES任务仍保留，可能继续显示或执行；取消不等同于物理删除历史，应按已备料、已开工和已完工状态分别处置。</w:t>
      </w:r>
    </w:p>
    <w:p w14:paraId="559BE1DD">
      <w:r>
        <w:rPr>
          <w:rFonts w:ascii="Arial Unicode MS" w:hAnsi="Arial Unicode MS" w:eastAsia="Arial Unicode MS"/>
          <w:color w:val="000000"/>
        </w:rPr>
        <w:t>既有调研记录产品SN经线下表格整理后通过MES打印，ERP未配置序列号模块；仅关节/成品启用批次，原料ERP批次未启用。补充访谈说明绑定后标签供流转卡和模组两处贴附，贴标位置及打印份数不能推定存在多个产品身份。产品SN、PCBA序列、供方标识及各类版本须保持各自语义，实际用料、历次测试与重绑事件按统一身份长期可查。</w:t>
      </w:r>
    </w:p>
    <w:p w14:paraId="29B2C962">
      <w:r>
        <w:rPr>
          <w:rFonts w:ascii="Arial Unicode MS" w:hAnsi="Arial Unicode MS" w:eastAsia="Arial Unicode MS"/>
          <w:color w:val="000000"/>
        </w:rPr>
        <w:t>接口建设应覆盖新增、变更、撤销、重发、执行反馈及失败补偿，关键操作记录来源、操作人、原始事件时间和前后状态。服务器、网络、供电、部署与版本管理正开展规范化建设，新MES需与基础设施及运行服务配套实施。</w:t>
      </w:r>
    </w:p>
    <w:p w14:paraId="57032370">
      <w:pPr>
        <w:pStyle w:val="5"/>
        <w:pageBreakBefore w:val="0"/>
      </w:pPr>
      <w:r>
        <w:rPr>
          <w:rFonts w:ascii="Arial Unicode MS" w:hAnsi="Arial Unicode MS" w:eastAsia="Arial Unicode MS"/>
          <w:b/>
          <w:color w:val="000000"/>
        </w:rPr>
        <w:t>系统与数字化现状</w:t>
      </w:r>
    </w:p>
    <w:p w14:paraId="2CD08CA4">
      <w:r>
        <w:rPr>
          <w:rFonts w:ascii="Arial Unicode MS" w:hAnsi="Arial Unicode MS" w:eastAsia="Arial Unicode MS"/>
          <w:color w:val="000000"/>
        </w:rPr>
        <w:t>用户汇总曾报告旧MES交互、卡顿、报表、集成及运维信息分散等问题，尚无响应时延、故障频率和可用率的量化基线。10月23日再次提及连续制单后需重开界面的历史问题，现场答复认为应已解决，其当前状态尚未经复测。新系统性能应以业务负载实测验证。AR2逐工位取数及质量周月报数据源切换失效，进一步说明数据上传和局部自动化尚未形成持续可用的查询统计链。</w:t>
      </w:r>
    </w:p>
    <w:p w14:paraId="26A79091">
      <w:r>
        <w:rPr>
          <w:rFonts w:ascii="Arial Unicode MS" w:hAnsi="Arial Unicode MS" w:eastAsia="Arial Unicode MS"/>
          <w:color w:val="000000"/>
        </w:rPr>
        <w:t>质量调研反映部分工位电脑共用、联网和数据查询条件不齐，部分查询依赖U盘；研发及产测资料同时确认局部数据可上传旧MES。终端、网络和采集范围应逐工位核对，不能以某一环节离线概括全厂状态。新流程必须同时验证正常采集和受控离线恢复。</w:t>
      </w:r>
    </w:p>
    <w:p w14:paraId="756ADD26">
      <w:r>
        <w:rPr>
          <w:rFonts w:ascii="Arial Unicode MS" w:hAnsi="Arial Unicode MS" w:eastAsia="Arial Unicode MS"/>
          <w:color w:val="000000"/>
        </w:rPr>
        <w:t>新系统技术基线宜包括业务事件接口、统一身份与状态、权限和操作日志、接口监控与对账、部署版本和恢复机制。旧数据应分为主数据、在制任务、库存/身份关联、历史记录与附件进行迁移或归档；不能仅以新MES功能上线判断替换完成。性能、恢复和容量指标应根据现场终端、并发与数据量形成正式验收口径。</w:t>
      </w:r>
    </w:p>
    <w:p w14:paraId="27C64C0A">
      <w:pPr>
        <w:pStyle w:val="5"/>
        <w:pageBreakBefore w:val="0"/>
      </w:pPr>
      <w:r>
        <w:rPr>
          <w:rFonts w:ascii="Arial Unicode MS" w:hAnsi="Arial Unicode MS" w:eastAsia="Arial Unicode MS"/>
          <w:b/>
          <w:color w:val="000000"/>
        </w:rPr>
        <w:t>业务问题清单</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5" w:type="dxa"/>
          <w:left w:w="95" w:type="dxa"/>
          <w:bottom w:w="95" w:type="dxa"/>
          <w:right w:w="95" w:type="dxa"/>
        </w:tblCellMar>
      </w:tblPr>
      <w:tblGrid>
        <w:gridCol w:w="1325"/>
        <w:gridCol w:w="4853"/>
        <w:gridCol w:w="3902"/>
      </w:tblGrid>
      <w:tr w14:paraId="18563C21">
        <w:trPr>
          <w:cantSplit/>
          <w:tblHeader/>
          <w:jc w:val="center"/>
        </w:trPr>
        <w:tc>
          <w:tcPr>
            <w:tcW w:w="1325" w:type="dxa"/>
            <w:shd w:val="clear" w:color="auto" w:fill="234A68"/>
            <w:vAlign w:val="center"/>
          </w:tcPr>
          <w:p w14:paraId="2D9B5B66">
            <w:pPr>
              <w:keepNext/>
              <w:spacing w:before="30" w:after="30" w:line="290" w:lineRule="exact"/>
              <w:jc w:val="center"/>
            </w:pPr>
            <w:r>
              <w:rPr>
                <w:rFonts w:ascii="Arial Unicode MS" w:hAnsi="Arial Unicode MS" w:eastAsia="Arial Unicode MS"/>
                <w:b/>
                <w:color w:val="FFFFFF"/>
                <w:sz w:val="20"/>
              </w:rPr>
              <w:t>编号</w:t>
            </w:r>
          </w:p>
        </w:tc>
        <w:tc>
          <w:tcPr>
            <w:tcW w:w="4853" w:type="dxa"/>
            <w:shd w:val="clear" w:color="auto" w:fill="234A68"/>
            <w:vAlign w:val="center"/>
          </w:tcPr>
          <w:p w14:paraId="3B33BCA3">
            <w:pPr>
              <w:keepNext/>
              <w:spacing w:before="30" w:after="30" w:line="290" w:lineRule="exact"/>
            </w:pPr>
            <w:r>
              <w:rPr>
                <w:rFonts w:ascii="Arial Unicode MS" w:hAnsi="Arial Unicode MS" w:eastAsia="Arial Unicode MS"/>
                <w:b/>
                <w:color w:val="FFFFFF"/>
                <w:sz w:val="20"/>
              </w:rPr>
              <w:t>问题</w:t>
            </w:r>
          </w:p>
        </w:tc>
        <w:tc>
          <w:tcPr>
            <w:tcW w:w="3902" w:type="dxa"/>
            <w:shd w:val="clear" w:color="auto" w:fill="234A68"/>
            <w:vAlign w:val="center"/>
          </w:tcPr>
          <w:p w14:paraId="7427A94C">
            <w:pPr>
              <w:keepNext/>
              <w:spacing w:before="30" w:after="30" w:line="290" w:lineRule="exact"/>
            </w:pPr>
            <w:r>
              <w:rPr>
                <w:rFonts w:ascii="Arial Unicode MS" w:hAnsi="Arial Unicode MS" w:eastAsia="Arial Unicode MS"/>
                <w:b/>
                <w:color w:val="FFFFFF"/>
                <w:sz w:val="20"/>
              </w:rPr>
              <w:t>业务影响</w:t>
            </w:r>
          </w:p>
        </w:tc>
      </w:tr>
      <w:tr w14:paraId="3974DB47">
        <w:trPr>
          <w:cantSplit/>
          <w:jc w:val="center"/>
        </w:trPr>
        <w:tc>
          <w:tcPr>
            <w:tcW w:w="1325" w:type="dxa"/>
            <w:vAlign w:val="center"/>
          </w:tcPr>
          <w:p w14:paraId="54C2807B">
            <w:pPr>
              <w:spacing w:before="30" w:after="30" w:line="290" w:lineRule="exact"/>
              <w:jc w:val="center"/>
            </w:pPr>
            <w:r>
              <w:rPr>
                <w:rFonts w:ascii="Arial Unicode MS" w:hAnsi="Arial Unicode MS" w:eastAsia="Arial Unicode MS"/>
                <w:b w:val="0"/>
                <w:color w:val="000000"/>
                <w:sz w:val="20"/>
              </w:rPr>
              <w:t>D10-P01</w:t>
            </w:r>
          </w:p>
        </w:tc>
        <w:tc>
          <w:tcPr>
            <w:tcW w:w="4853" w:type="dxa"/>
            <w:vAlign w:val="center"/>
          </w:tcPr>
          <w:p w14:paraId="461A863D">
            <w:pPr>
              <w:spacing w:before="30" w:after="30" w:line="290" w:lineRule="exact"/>
            </w:pPr>
            <w:r>
              <w:rPr>
                <w:rFonts w:ascii="Arial Unicode MS" w:hAnsi="Arial Unicode MS" w:eastAsia="Arial Unicode MS"/>
                <w:b w:val="0"/>
                <w:color w:val="000000"/>
                <w:sz w:val="20"/>
              </w:rPr>
              <w:t>旧MES交互、性能、报表与运维支持未满足当前使用需要</w:t>
            </w:r>
          </w:p>
        </w:tc>
        <w:tc>
          <w:tcPr>
            <w:tcW w:w="3902" w:type="dxa"/>
            <w:vAlign w:val="center"/>
          </w:tcPr>
          <w:p w14:paraId="04846BA9">
            <w:pPr>
              <w:spacing w:before="30" w:after="30" w:line="290" w:lineRule="exact"/>
            </w:pPr>
            <w:r>
              <w:rPr>
                <w:rFonts w:ascii="Arial Unicode MS" w:hAnsi="Arial Unicode MS" w:eastAsia="Arial Unicode MS"/>
                <w:b w:val="0"/>
                <w:color w:val="000000"/>
                <w:sz w:val="20"/>
              </w:rPr>
              <w:t>现场作业负担增加，人员减少系统使用，问题处理及持续优化受限</w:t>
            </w:r>
          </w:p>
        </w:tc>
      </w:tr>
      <w:tr w14:paraId="324DF66B">
        <w:trPr>
          <w:cantSplit/>
          <w:jc w:val="center"/>
        </w:trPr>
        <w:tc>
          <w:tcPr>
            <w:tcW w:w="1325" w:type="dxa"/>
            <w:shd w:val="clear" w:color="auto" w:fill="F1F5F8"/>
            <w:vAlign w:val="center"/>
          </w:tcPr>
          <w:p w14:paraId="024B9B34">
            <w:pPr>
              <w:spacing w:before="30" w:after="30" w:line="290" w:lineRule="exact"/>
              <w:jc w:val="center"/>
            </w:pPr>
            <w:r>
              <w:rPr>
                <w:rFonts w:ascii="Arial Unicode MS" w:hAnsi="Arial Unicode MS" w:eastAsia="Arial Unicode MS"/>
                <w:b w:val="0"/>
                <w:color w:val="000000"/>
                <w:sz w:val="20"/>
              </w:rPr>
              <w:t>D10-P02</w:t>
            </w:r>
          </w:p>
        </w:tc>
        <w:tc>
          <w:tcPr>
            <w:tcW w:w="4853" w:type="dxa"/>
            <w:shd w:val="clear" w:color="auto" w:fill="F1F5F8"/>
            <w:vAlign w:val="center"/>
          </w:tcPr>
          <w:p w14:paraId="5E29AF78">
            <w:pPr>
              <w:spacing w:before="30" w:after="30" w:line="290" w:lineRule="exact"/>
            </w:pPr>
            <w:r>
              <w:rPr>
                <w:rFonts w:ascii="Arial Unicode MS" w:hAnsi="Arial Unicode MS" w:eastAsia="Arial Unicode MS"/>
                <w:b w:val="0"/>
                <w:color w:val="000000"/>
                <w:sz w:val="20"/>
              </w:rPr>
              <w:t>接口未覆盖订单/工单撤销等生命周期，ERP删除误单后旧MES任务仍保留</w:t>
            </w:r>
          </w:p>
        </w:tc>
        <w:tc>
          <w:tcPr>
            <w:tcW w:w="3902" w:type="dxa"/>
            <w:shd w:val="clear" w:color="auto" w:fill="F1F5F8"/>
            <w:vAlign w:val="center"/>
          </w:tcPr>
          <w:p w14:paraId="1942617D">
            <w:pPr>
              <w:spacing w:before="30" w:after="30" w:line="290" w:lineRule="exact"/>
            </w:pPr>
            <w:r>
              <w:rPr>
                <w:rFonts w:ascii="Arial Unicode MS" w:hAnsi="Arial Unicode MS" w:eastAsia="Arial Unicode MS"/>
                <w:b w:val="0"/>
                <w:color w:val="000000"/>
                <w:sz w:val="20"/>
              </w:rPr>
              <w:t>跨系统任务数量和状态不一致，形成误生产或重复处理风险</w:t>
            </w:r>
          </w:p>
        </w:tc>
      </w:tr>
      <w:tr w14:paraId="509D2A36">
        <w:trPr>
          <w:cantSplit/>
          <w:jc w:val="center"/>
        </w:trPr>
        <w:tc>
          <w:tcPr>
            <w:tcW w:w="1325" w:type="dxa"/>
            <w:vAlign w:val="center"/>
          </w:tcPr>
          <w:p w14:paraId="3A033851">
            <w:pPr>
              <w:spacing w:before="30" w:after="30" w:line="290" w:lineRule="exact"/>
              <w:jc w:val="center"/>
            </w:pPr>
            <w:r>
              <w:rPr>
                <w:rFonts w:ascii="Arial Unicode MS" w:hAnsi="Arial Unicode MS" w:eastAsia="Arial Unicode MS"/>
                <w:b w:val="0"/>
                <w:color w:val="000000"/>
                <w:sz w:val="20"/>
              </w:rPr>
              <w:t>D10-P03</w:t>
            </w:r>
          </w:p>
        </w:tc>
        <w:tc>
          <w:tcPr>
            <w:tcW w:w="4853" w:type="dxa"/>
            <w:vAlign w:val="center"/>
          </w:tcPr>
          <w:p w14:paraId="7993A6A5">
            <w:pPr>
              <w:spacing w:before="30" w:after="30" w:line="290" w:lineRule="exact"/>
            </w:pPr>
            <w:r>
              <w:rPr>
                <w:rFonts w:ascii="Arial Unicode MS" w:hAnsi="Arial Unicode MS" w:eastAsia="Arial Unicode MS"/>
                <w:b w:val="0"/>
                <w:color w:val="000000"/>
                <w:sz w:val="20"/>
              </w:rPr>
              <w:t>关键制造数据分散、对象标识与版本关联不足，数据上传未形成使用闭环</w:t>
            </w:r>
          </w:p>
        </w:tc>
        <w:tc>
          <w:tcPr>
            <w:tcW w:w="3902" w:type="dxa"/>
            <w:vAlign w:val="center"/>
          </w:tcPr>
          <w:p w14:paraId="4136407A">
            <w:pPr>
              <w:spacing w:before="30" w:after="30" w:line="290" w:lineRule="exact"/>
            </w:pPr>
            <w:r>
              <w:rPr>
                <w:rFonts w:ascii="Arial Unicode MS" w:hAnsi="Arial Unicode MS" w:eastAsia="Arial Unicode MS"/>
                <w:color w:val="000000"/>
              </w:rPr>
              <w:t>报表和追溯可信度受限，AR2、AR56、仓储难及时共享同一事实</w:t>
            </w:r>
          </w:p>
        </w:tc>
      </w:tr>
      <w:tr w14:paraId="55F2FA6A">
        <w:trPr>
          <w:cantSplit/>
          <w:jc w:val="center"/>
        </w:trPr>
        <w:tc>
          <w:tcPr>
            <w:tcW w:w="1325" w:type="dxa"/>
            <w:shd w:val="clear" w:color="auto" w:fill="F1F5F8"/>
            <w:vAlign w:val="center"/>
          </w:tcPr>
          <w:p w14:paraId="4DBDBDB6">
            <w:pPr>
              <w:spacing w:before="30" w:after="30" w:line="290" w:lineRule="exact"/>
              <w:jc w:val="center"/>
            </w:pPr>
            <w:r>
              <w:rPr>
                <w:rFonts w:ascii="Arial Unicode MS" w:hAnsi="Arial Unicode MS" w:eastAsia="Arial Unicode MS"/>
                <w:b w:val="0"/>
                <w:color w:val="000000"/>
                <w:sz w:val="20"/>
              </w:rPr>
              <w:t>D10-P04</w:t>
            </w:r>
          </w:p>
        </w:tc>
        <w:tc>
          <w:tcPr>
            <w:tcW w:w="4853" w:type="dxa"/>
            <w:shd w:val="clear" w:color="auto" w:fill="F1F5F8"/>
            <w:vAlign w:val="center"/>
          </w:tcPr>
          <w:p w14:paraId="4B93627D">
            <w:pPr>
              <w:spacing w:before="30" w:after="30" w:line="290" w:lineRule="exact"/>
            </w:pPr>
            <w:r>
              <w:rPr>
                <w:rFonts w:ascii="Arial Unicode MS" w:hAnsi="Arial Unicode MS" w:eastAsia="Arial Unicode MS"/>
                <w:b w:val="0"/>
                <w:color w:val="000000"/>
                <w:sz w:val="20"/>
              </w:rPr>
              <w:t>系统业务边界与跨部门数据责任未明确，线下规则由表格和插件固化</w:t>
            </w:r>
          </w:p>
        </w:tc>
        <w:tc>
          <w:tcPr>
            <w:tcW w:w="3902" w:type="dxa"/>
            <w:shd w:val="clear" w:color="auto" w:fill="F1F5F8"/>
            <w:vAlign w:val="center"/>
          </w:tcPr>
          <w:p w14:paraId="277AE397">
            <w:pPr>
              <w:spacing w:before="30" w:after="30" w:line="290" w:lineRule="exact"/>
            </w:pPr>
            <w:r>
              <w:rPr>
                <w:rFonts w:ascii="Arial Unicode MS" w:hAnsi="Arial Unicode MS" w:eastAsia="Arial Unicode MS"/>
                <w:b w:val="0"/>
                <w:color w:val="000000"/>
                <w:sz w:val="20"/>
              </w:rPr>
              <w:t>需求变更易形成局部改动，异常处置无明确责任，集成和维护成本持续增加</w:t>
            </w:r>
          </w:p>
        </w:tc>
      </w:tr>
      <w:tr w14:paraId="0C4F4855">
        <w:trPr>
          <w:cantSplit/>
          <w:jc w:val="center"/>
        </w:trPr>
        <w:tc>
          <w:tcPr>
            <w:tcW w:w="1325" w:type="dxa"/>
            <w:vAlign w:val="center"/>
          </w:tcPr>
          <w:p w14:paraId="727E2F1F">
            <w:pPr>
              <w:spacing w:before="30" w:after="30" w:line="290" w:lineRule="exact"/>
              <w:jc w:val="center"/>
            </w:pPr>
            <w:r>
              <w:rPr>
                <w:rFonts w:ascii="Arial Unicode MS" w:hAnsi="Arial Unicode MS" w:eastAsia="Arial Unicode MS"/>
                <w:b w:val="0"/>
                <w:color w:val="000000"/>
                <w:sz w:val="20"/>
              </w:rPr>
              <w:t>D10-P05</w:t>
            </w:r>
          </w:p>
        </w:tc>
        <w:tc>
          <w:tcPr>
            <w:tcW w:w="4853" w:type="dxa"/>
            <w:vAlign w:val="center"/>
          </w:tcPr>
          <w:p w14:paraId="748B2448">
            <w:pPr>
              <w:spacing w:before="30" w:after="30" w:line="290" w:lineRule="exact"/>
            </w:pPr>
            <w:r>
              <w:rPr>
                <w:rFonts w:ascii="Arial Unicode MS" w:hAnsi="Arial Unicode MS" w:eastAsia="Arial Unicode MS"/>
                <w:color w:val="000000"/>
                <w:sz w:val="20"/>
              </w:rPr>
              <w:t>基础设施规范化建设与新MES运行保障要求尚缺统一技术基线</w:t>
            </w:r>
          </w:p>
        </w:tc>
        <w:tc>
          <w:tcPr>
            <w:tcW w:w="3902" w:type="dxa"/>
            <w:vAlign w:val="center"/>
          </w:tcPr>
          <w:p w14:paraId="249E5C4B">
            <w:pPr>
              <w:spacing w:before="30" w:after="30" w:line="290" w:lineRule="exact"/>
            </w:pPr>
            <w:r>
              <w:rPr>
                <w:rFonts w:ascii="Arial Unicode MS" w:hAnsi="Arial Unicode MS" w:eastAsia="Arial Unicode MS"/>
                <w:color w:val="000000"/>
                <w:sz w:val="20"/>
              </w:rPr>
              <w:t>容量、性能、发布及恢复能力难按统一口径验证，需与MES建设同步落实</w:t>
            </w:r>
          </w:p>
        </w:tc>
      </w:tr>
    </w:tbl>
    <w:p w14:paraId="11FD8F1D">
      <w:pPr>
        <w:spacing w:before="20" w:after="20" w:line="120" w:lineRule="auto"/>
      </w:pPr>
    </w:p>
    <w:p w14:paraId="60436647">
      <w:pPr>
        <w:pStyle w:val="3"/>
        <w:pageBreakBefore/>
      </w:pPr>
      <w:bookmarkStart w:id="13" w:name="ch4"/>
      <w:r>
        <w:rPr>
          <w:rFonts w:ascii="Arial Unicode MS" w:hAnsi="Arial Unicode MS" w:eastAsia="Arial Unicode MS"/>
          <w:b/>
          <w:color w:val="000000"/>
        </w:rPr>
        <w:t>第四章 痛点分析 需求与验收</w:t>
      </w:r>
      <w:bookmarkEnd w:id="13"/>
    </w:p>
    <w:p w14:paraId="3406EEA9">
      <w:pPr>
        <w:pStyle w:val="4"/>
        <w:pageBreakBefore w:val="0"/>
      </w:pPr>
      <w:bookmarkStart w:id="14" w:name="root"/>
      <w:r>
        <w:rPr>
          <w:rFonts w:ascii="Arial Unicode MS" w:hAnsi="Arial Unicode MS" w:eastAsia="Arial Unicode MS"/>
          <w:b/>
          <w:color w:val="000000"/>
        </w:rPr>
        <w:t>痛点与根因分析</w:t>
      </w:r>
      <w:bookmarkEnd w:id="14"/>
    </w:p>
    <w:p w14:paraId="2703FDBE">
      <w:pPr>
        <w:rPr>
          <w:rFonts w:ascii="Arial Unicode MS" w:hAnsi="Arial Unicode MS" w:eastAsia="Arial Unicode MS"/>
          <w:color w:val="000000"/>
        </w:rPr>
      </w:pPr>
      <w:r>
        <w:rPr>
          <w:rFonts w:ascii="Arial Unicode MS" w:hAnsi="Arial Unicode MS" w:eastAsia="Arial Unicode MS"/>
          <w:color w:val="000000"/>
        </w:rPr>
        <w:t>本节围绕业务结果逐层追溯直接原因及其形成条件，说明前一层问题为何持续发生，再归纳应优先改善的关键机制。存在不同原因分支时分别分析，层数按实际因果关系设置，管理改善与系统建设共同对应末端制约。</w:t>
      </w:r>
    </w:p>
    <w:p w14:paraId="31FA6252">
      <w:pPr>
        <w:pStyle w:val="5"/>
        <w:pageBreakBefore w:val="0"/>
      </w:pPr>
      <w:r>
        <w:rPr>
          <w:rFonts w:ascii="Arial Unicode MS" w:hAnsi="Arial Unicode MS" w:eastAsia="Arial Unicode MS"/>
          <w:color w:val="000000"/>
        </w:rPr>
        <w:t>P01 计划难以提前准备并指导现场</w:t>
      </w:r>
    </w:p>
    <w:p w14:paraId="0E3D0DAF">
      <w:pPr>
        <w:keepNext/>
      </w:pPr>
      <w:r>
        <w:rPr>
          <w:rFonts w:ascii="Arial Unicode MS" w:hAnsi="Arial Unicode MS" w:eastAsia="Arial Unicode MS"/>
          <w:color w:val="000000"/>
        </w:rPr>
        <w:t>关联问题 D03-P01 D03-P02 D05-P01 D05-P02 D06-P06 D07-P08。生产、成品仓及检验准备缺少稳定共享输入，临时调整增加，交期承诺与实际能力难一致。</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592"/>
        <w:gridCol w:w="7488"/>
      </w:tblGrid>
      <w:tr w14:paraId="3B3F9E23">
        <w:trPr>
          <w:cantSplit/>
          <w:tblHeader/>
          <w:jc w:val="center"/>
        </w:trPr>
        <w:tc>
          <w:tcPr>
            <w:tcW w:w="2592" w:type="dxa"/>
            <w:shd w:val="clear" w:color="auto" w:fill="234A68"/>
            <w:vAlign w:val="center"/>
          </w:tcPr>
          <w:p w14:paraId="61570C79">
            <w:pPr>
              <w:keepNext/>
              <w:spacing w:before="40" w:after="40" w:line="280" w:lineRule="exact"/>
              <w:jc w:val="center"/>
            </w:pPr>
            <w:r>
              <w:rPr>
                <w:rFonts w:ascii="Arial Unicode MS" w:hAnsi="Arial Unicode MS" w:eastAsia="Arial Unicode MS"/>
                <w:b/>
                <w:color w:val="FFFFFF"/>
                <w:sz w:val="20"/>
              </w:rPr>
              <w:t>递进追因</w:t>
            </w:r>
          </w:p>
        </w:tc>
        <w:tc>
          <w:tcPr>
            <w:tcW w:w="7488" w:type="dxa"/>
            <w:shd w:val="clear" w:color="auto" w:fill="234A68"/>
            <w:vAlign w:val="center"/>
          </w:tcPr>
          <w:p w14:paraId="4314AEEB">
            <w:pPr>
              <w:keepNext/>
              <w:spacing w:before="40" w:after="40" w:line="280" w:lineRule="exact"/>
              <w:jc w:val="center"/>
            </w:pPr>
            <w:r>
              <w:rPr>
                <w:rFonts w:ascii="Arial Unicode MS" w:hAnsi="Arial Unicode MS" w:eastAsia="Arial Unicode MS"/>
                <w:b/>
                <w:color w:val="FFFFFF"/>
                <w:sz w:val="20"/>
              </w:rPr>
              <w:t>原因解释及改善落点</w:t>
            </w:r>
          </w:p>
        </w:tc>
      </w:tr>
      <w:tr w14:paraId="689DCBD4">
        <w:trPr>
          <w:cantSplit/>
          <w:jc w:val="center"/>
        </w:trPr>
        <w:tc>
          <w:tcPr>
            <w:tcW w:w="2592" w:type="dxa"/>
            <w:vAlign w:val="center"/>
          </w:tcPr>
          <w:p w14:paraId="6FB8372C">
            <w:pPr>
              <w:spacing w:before="40" w:after="40" w:line="280" w:lineRule="exact"/>
            </w:pPr>
            <w:r>
              <w:rPr>
                <w:rFonts w:ascii="Arial Unicode MS" w:hAnsi="Arial Unicode MS" w:eastAsia="Arial Unicode MS"/>
                <w:b w:val="0"/>
                <w:color w:val="000000"/>
                <w:sz w:val="20"/>
              </w:rPr>
              <w:t>为何生产与成品仓难提前准备</w:t>
            </w:r>
          </w:p>
        </w:tc>
        <w:tc>
          <w:tcPr>
            <w:tcW w:w="7488" w:type="dxa"/>
            <w:vAlign w:val="center"/>
          </w:tcPr>
          <w:p w14:paraId="06715B8B">
            <w:pPr>
              <w:spacing w:before="40" w:after="40" w:line="280" w:lineRule="exact"/>
            </w:pPr>
            <w:r>
              <w:rPr>
                <w:rFonts w:ascii="Arial Unicode MS" w:hAnsi="Arial Unicode MS" w:eastAsia="Arial Unicode MS"/>
                <w:b w:val="0"/>
                <w:color w:val="000000"/>
                <w:sz w:val="20"/>
              </w:rPr>
              <w:t>任务主要形成短期粗排，物料、岗位和备货准备难获得稳定的提前信息。</w:t>
            </w:r>
          </w:p>
        </w:tc>
      </w:tr>
      <w:tr w14:paraId="4C1ED73E">
        <w:trPr>
          <w:cantSplit/>
          <w:jc w:val="center"/>
        </w:trPr>
        <w:tc>
          <w:tcPr>
            <w:tcW w:w="2592" w:type="dxa"/>
            <w:shd w:val="clear" w:color="auto" w:fill="F1F5F8"/>
            <w:vAlign w:val="center"/>
          </w:tcPr>
          <w:p w14:paraId="4F4A90E5">
            <w:pPr>
              <w:spacing w:before="40" w:after="40" w:line="280" w:lineRule="exact"/>
            </w:pPr>
            <w:r>
              <w:rPr>
                <w:rFonts w:ascii="Arial Unicode MS" w:hAnsi="Arial Unicode MS" w:eastAsia="Arial Unicode MS"/>
                <w:b w:val="0"/>
                <w:color w:val="000000"/>
                <w:sz w:val="20"/>
              </w:rPr>
              <w:t>为何任务难以前移并稳定</w:t>
            </w:r>
          </w:p>
        </w:tc>
        <w:tc>
          <w:tcPr>
            <w:tcW w:w="7488" w:type="dxa"/>
            <w:shd w:val="clear" w:color="auto" w:fill="F1F5F8"/>
            <w:vAlign w:val="center"/>
          </w:tcPr>
          <w:p w14:paraId="6F2C2B88">
            <w:pPr>
              <w:spacing w:before="40" w:after="40" w:line="280" w:lineRule="exact"/>
            </w:pPr>
            <w:r>
              <w:rPr>
                <w:rFonts w:ascii="Arial Unicode MS" w:hAnsi="Arial Unicode MS" w:eastAsia="Arial Unicode MS"/>
                <w:b w:val="0"/>
                <w:color w:val="000000"/>
                <w:sz w:val="20"/>
              </w:rPr>
              <w:t>未来物料可用时间、分型号负荷和实时在制状态不能同时可靠进入计划，需求变化又会改变齐套与能力约束。</w:t>
            </w:r>
          </w:p>
        </w:tc>
      </w:tr>
      <w:tr w14:paraId="2622A200">
        <w:trPr>
          <w:cantSplit/>
          <w:jc w:val="center"/>
        </w:trPr>
        <w:tc>
          <w:tcPr>
            <w:tcW w:w="2592" w:type="dxa"/>
            <w:vAlign w:val="center"/>
          </w:tcPr>
          <w:p w14:paraId="7157A3AE">
            <w:pPr>
              <w:spacing w:before="40" w:after="40" w:line="280" w:lineRule="exact"/>
            </w:pPr>
            <w:r>
              <w:rPr>
                <w:rFonts w:ascii="Arial Unicode MS" w:hAnsi="Arial Unicode MS" w:eastAsia="Arial Unicode MS"/>
                <w:b w:val="0"/>
                <w:color w:val="000000"/>
                <w:sz w:val="20"/>
              </w:rPr>
              <w:t>为何这些输入不能可靠接续</w:t>
            </w:r>
          </w:p>
        </w:tc>
        <w:tc>
          <w:tcPr>
            <w:tcW w:w="7488" w:type="dxa"/>
            <w:vAlign w:val="center"/>
          </w:tcPr>
          <w:p w14:paraId="1FAA78F2">
            <w:pPr>
              <w:spacing w:before="40" w:after="40" w:line="280" w:lineRule="exact"/>
            </w:pPr>
            <w:r>
              <w:rPr>
                <w:rFonts w:ascii="Arial Unicode MS" w:hAnsi="Arial Unicode MS" w:eastAsia="Arial Unicode MS"/>
                <w:b w:val="0"/>
                <w:color w:val="000000"/>
                <w:sz w:val="20"/>
              </w:rPr>
              <w:t>工时及工作量已有局部参考，但适用产品、班次时长和验证口径不统一；到货至可用时间及现场位置、待流入和未排余量又分散在表格、盘点与程序中。</w:t>
            </w:r>
          </w:p>
        </w:tc>
      </w:tr>
      <w:tr w14:paraId="69C05F16">
        <w:trPr>
          <w:cantSplit/>
          <w:jc w:val="center"/>
        </w:trPr>
        <w:tc>
          <w:tcPr>
            <w:tcW w:w="2592" w:type="dxa"/>
            <w:shd w:val="clear" w:color="auto" w:fill="F1F5F8"/>
            <w:vAlign w:val="center"/>
          </w:tcPr>
          <w:p w14:paraId="202E7620">
            <w:pPr>
              <w:spacing w:before="40" w:after="40" w:line="280" w:lineRule="exact"/>
            </w:pPr>
            <w:r>
              <w:rPr>
                <w:rFonts w:ascii="Arial Unicode MS" w:hAnsi="Arial Unicode MS" w:eastAsia="Arial Unicode MS"/>
                <w:b w:val="0"/>
                <w:color w:val="000000"/>
                <w:sz w:val="20"/>
              </w:rPr>
              <w:t>关键制约与改善落点</w:t>
            </w:r>
          </w:p>
        </w:tc>
        <w:tc>
          <w:tcPr>
            <w:tcW w:w="7488" w:type="dxa"/>
            <w:shd w:val="clear" w:color="auto" w:fill="F1F5F8"/>
            <w:vAlign w:val="center"/>
          </w:tcPr>
          <w:p w14:paraId="4C526B83">
            <w:pPr>
              <w:spacing w:before="40" w:after="40" w:line="280" w:lineRule="exact"/>
            </w:pPr>
            <w:r>
              <w:rPr>
                <w:rFonts w:ascii="Arial Unicode MS" w:hAnsi="Arial Unicode MS" w:eastAsia="Arial Unicode MS"/>
                <w:b w:val="0"/>
                <w:color w:val="000000"/>
                <w:sz w:val="20"/>
              </w:rPr>
              <w:t>计划输入、更新责任、发布节奏和现场反馈需要形成同一运行机制。先治理数据和闭环反馈，再提高排程精细度。</w:t>
            </w:r>
          </w:p>
        </w:tc>
      </w:tr>
    </w:tbl>
    <w:p w14:paraId="32E43533">
      <w:pPr>
        <w:spacing w:before="20" w:after="20" w:line="120" w:lineRule="auto"/>
      </w:pPr>
    </w:p>
    <w:p w14:paraId="1D8C3BB5">
      <w:r>
        <w:rPr>
          <w:rFonts w:ascii="Arial Unicode MS" w:hAnsi="Arial Unicode MS" w:eastAsia="Arial Unicode MS"/>
          <w:color w:val="000000"/>
        </w:rPr>
        <w:t>分析结论 改善抓手是先建立可解释、可复核的计划基线与闭环反馈，再提高排程精细度。需求波动是客观约束，不应以承诺更长排程周期代替可用信息治理。</w:t>
      </w:r>
    </w:p>
    <w:p w14:paraId="377EDFAB">
      <w:r>
        <w:rPr>
          <w:rFonts w:ascii="Arial Unicode MS" w:hAnsi="Arial Unicode MS" w:eastAsia="Arial Unicode MS"/>
          <w:color w:val="000000"/>
        </w:rPr>
        <w:t>管理改善 明确需求优先级、计划发布调整与滚动/冻结责任；复用已有型号、岗位及检验工作量参考，以实际样本校核工时、资源占用及可用班次时长；明确到货至检验可用日期的更新责任，共享预计、已下达、已分配与实际状态。</w:t>
      </w:r>
    </w:p>
    <w:p w14:paraId="3418147B">
      <w:r>
        <w:rPr>
          <w:rFonts w:ascii="Arial Unicode MS" w:hAnsi="Arial Unicode MS" w:eastAsia="Arial Unicode MS"/>
          <w:color w:val="000000"/>
        </w:rPr>
        <w:t>系统改善 ERP承接需求和物料计划，MES接收获准任务并支持二楼型号数量派工、三楼在制载具派工及适用范围内的调整，提供可信的工位余量、位置、实际数量与异常反馈。统一视图应供生产、工程和仓储准备使用，精细排程在资源、工时和物料数据稳定后评估。</w:t>
      </w:r>
    </w:p>
    <w:p w14:paraId="3EE9BC8C">
      <w:r>
        <w:rPr>
          <w:rFonts w:ascii="Arial Unicode MS" w:hAnsi="Arial Unicode MS" w:eastAsia="Arial Unicode MS"/>
          <w:color w:val="000000"/>
        </w:rPr>
        <w:t>优先级 P0。相关需求 F08 F19 F20 F21 F22 F30 F59 F64 N11</w:t>
      </w:r>
    </w:p>
    <w:p w14:paraId="1150AB6E">
      <w:pPr>
        <w:pStyle w:val="5"/>
        <w:pageBreakBefore w:val="0"/>
      </w:pPr>
      <w:r>
        <w:rPr>
          <w:rFonts w:ascii="Arial Unicode MS" w:hAnsi="Arial Unicode MS" w:eastAsia="Arial Unicode MS"/>
          <w:color w:val="000000"/>
        </w:rPr>
        <w:t>P02 工程交付与变更不能稳定指导生产</w:t>
      </w:r>
    </w:p>
    <w:p w14:paraId="26BC1977">
      <w:pPr>
        <w:keepNext/>
      </w:pPr>
      <w:r>
        <w:rPr>
          <w:rFonts w:ascii="Arial Unicode MS" w:hAnsi="Arial Unicode MS" w:eastAsia="Arial Unicode MS"/>
          <w:color w:val="000000"/>
        </w:rPr>
        <w:t>关联问题 D04-P01 D04-P02 D04-P03 D04-P04 D04-P05。首产资料缺项、人员反复协调，历史产品的用料、方法及测试依据难完整解释。</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592"/>
        <w:gridCol w:w="7488"/>
      </w:tblGrid>
      <w:tr w14:paraId="4F493B1F">
        <w:trPr>
          <w:cantSplit/>
          <w:tblHeader/>
          <w:jc w:val="center"/>
        </w:trPr>
        <w:tc>
          <w:tcPr>
            <w:tcW w:w="2592" w:type="dxa"/>
            <w:shd w:val="clear" w:color="auto" w:fill="234A68"/>
            <w:vAlign w:val="center"/>
          </w:tcPr>
          <w:p w14:paraId="17AA379E">
            <w:pPr>
              <w:keepNext/>
              <w:spacing w:before="40" w:after="40" w:line="280" w:lineRule="exact"/>
              <w:jc w:val="center"/>
            </w:pPr>
            <w:r>
              <w:rPr>
                <w:rFonts w:ascii="Arial Unicode MS" w:hAnsi="Arial Unicode MS" w:eastAsia="Arial Unicode MS"/>
                <w:b/>
                <w:color w:val="FFFFFF"/>
                <w:sz w:val="20"/>
              </w:rPr>
              <w:t>递进追因</w:t>
            </w:r>
          </w:p>
        </w:tc>
        <w:tc>
          <w:tcPr>
            <w:tcW w:w="7488" w:type="dxa"/>
            <w:shd w:val="clear" w:color="auto" w:fill="234A68"/>
            <w:vAlign w:val="center"/>
          </w:tcPr>
          <w:p w14:paraId="69E19E52">
            <w:pPr>
              <w:keepNext/>
              <w:spacing w:before="40" w:after="40" w:line="280" w:lineRule="exact"/>
              <w:jc w:val="center"/>
            </w:pPr>
            <w:r>
              <w:rPr>
                <w:rFonts w:ascii="Arial Unicode MS" w:hAnsi="Arial Unicode MS" w:eastAsia="Arial Unicode MS"/>
                <w:b/>
                <w:color w:val="FFFFFF"/>
                <w:sz w:val="20"/>
              </w:rPr>
              <w:t>原因解释及改善落点</w:t>
            </w:r>
          </w:p>
        </w:tc>
      </w:tr>
      <w:tr w14:paraId="453DEC6E">
        <w:trPr>
          <w:cantSplit/>
          <w:jc w:val="center"/>
        </w:trPr>
        <w:tc>
          <w:tcPr>
            <w:tcW w:w="2592" w:type="dxa"/>
            <w:vAlign w:val="center"/>
          </w:tcPr>
          <w:p w14:paraId="139AD286">
            <w:pPr>
              <w:spacing w:before="40" w:after="40" w:line="280" w:lineRule="exact"/>
            </w:pPr>
            <w:r>
              <w:rPr>
                <w:rFonts w:ascii="Arial Unicode MS" w:hAnsi="Arial Unicode MS" w:eastAsia="Arial Unicode MS"/>
                <w:b w:val="0"/>
                <w:color w:val="000000"/>
                <w:sz w:val="20"/>
              </w:rPr>
              <w:t>为何首产及变更后仍需现场补充</w:t>
            </w:r>
          </w:p>
        </w:tc>
        <w:tc>
          <w:tcPr>
            <w:tcW w:w="7488" w:type="dxa"/>
            <w:vAlign w:val="center"/>
          </w:tcPr>
          <w:p w14:paraId="1595F624">
            <w:pPr>
              <w:spacing w:before="40" w:after="40" w:line="280" w:lineRule="exact"/>
            </w:pPr>
            <w:r>
              <w:rPr>
                <w:rFonts w:ascii="Arial Unicode MS" w:hAnsi="Arial Unicode MS" w:eastAsia="Arial Unicode MS"/>
                <w:b w:val="0"/>
                <w:color w:val="000000"/>
                <w:sz w:val="20"/>
              </w:rPr>
              <w:t>现场不能直接从统一依据取得完整用料、位置、工艺、工具及测试要求，需要口头解释和人工核对。</w:t>
            </w:r>
          </w:p>
        </w:tc>
      </w:tr>
      <w:tr w14:paraId="06D530FC">
        <w:trPr>
          <w:cantSplit/>
          <w:jc w:val="center"/>
        </w:trPr>
        <w:tc>
          <w:tcPr>
            <w:tcW w:w="2592" w:type="dxa"/>
            <w:shd w:val="clear" w:color="auto" w:fill="F1F5F8"/>
            <w:vAlign w:val="center"/>
          </w:tcPr>
          <w:p w14:paraId="09505E15">
            <w:pPr>
              <w:spacing w:before="40" w:after="40" w:line="280" w:lineRule="exact"/>
            </w:pPr>
            <w:r>
              <w:rPr>
                <w:rFonts w:ascii="Arial Unicode MS" w:hAnsi="Arial Unicode MS" w:eastAsia="Arial Unicode MS"/>
                <w:b w:val="0"/>
                <w:color w:val="000000"/>
                <w:sz w:val="20"/>
              </w:rPr>
              <w:t>为何已发布资料仍不足以直接执行</w:t>
            </w:r>
          </w:p>
        </w:tc>
        <w:tc>
          <w:tcPr>
            <w:tcW w:w="7488" w:type="dxa"/>
            <w:shd w:val="clear" w:color="auto" w:fill="F1F5F8"/>
            <w:vAlign w:val="center"/>
          </w:tcPr>
          <w:p w14:paraId="57090690">
            <w:pPr>
              <w:spacing w:before="40" w:after="40" w:line="280" w:lineRule="exact"/>
            </w:pPr>
            <w:r>
              <w:rPr>
                <w:rFonts w:ascii="Arial Unicode MS" w:hAnsi="Arial Unicode MS" w:eastAsia="Arial Unicode MS"/>
                <w:b w:val="0"/>
                <w:color w:val="000000"/>
                <w:sz w:val="20"/>
              </w:rPr>
              <w:t>BOM、SOP、安装参数、工装和测试配置在不同载体中维护，版本与适用对象未形成连续关联。</w:t>
            </w:r>
          </w:p>
        </w:tc>
      </w:tr>
      <w:tr w14:paraId="7775F273">
        <w:trPr>
          <w:cantSplit/>
          <w:jc w:val="center"/>
        </w:trPr>
        <w:tc>
          <w:tcPr>
            <w:tcW w:w="2592" w:type="dxa"/>
            <w:vAlign w:val="center"/>
          </w:tcPr>
          <w:p w14:paraId="238CFEB0">
            <w:pPr>
              <w:spacing w:before="40" w:after="40" w:line="280" w:lineRule="exact"/>
            </w:pPr>
            <w:r>
              <w:rPr>
                <w:rFonts w:ascii="Arial Unicode MS" w:hAnsi="Arial Unicode MS" w:eastAsia="Arial Unicode MS"/>
                <w:b w:val="0"/>
                <w:color w:val="000000"/>
                <w:sz w:val="20"/>
              </w:rPr>
              <w:t>为何资料与适用性没有完成受控交接</w:t>
            </w:r>
          </w:p>
        </w:tc>
        <w:tc>
          <w:tcPr>
            <w:tcW w:w="7488" w:type="dxa"/>
            <w:vAlign w:val="center"/>
          </w:tcPr>
          <w:p w14:paraId="389383F0">
            <w:pPr>
              <w:spacing w:before="40" w:after="40" w:line="280" w:lineRule="exact"/>
            </w:pPr>
            <w:r>
              <w:rPr>
                <w:rFonts w:ascii="Arial Unicode MS" w:hAnsi="Arial Unicode MS" w:eastAsia="Arial Unicode MS"/>
                <w:b w:val="0"/>
                <w:color w:val="000000"/>
                <w:sz w:val="20"/>
              </w:rPr>
              <w:t>工程资料编制、发布、首产就绪和变更现场落实分别处理，未共同以“可执行且历史可还原”核对交付结果。</w:t>
            </w:r>
          </w:p>
        </w:tc>
      </w:tr>
      <w:tr w14:paraId="46E44C03">
        <w:trPr>
          <w:cantSplit/>
          <w:jc w:val="center"/>
        </w:trPr>
        <w:tc>
          <w:tcPr>
            <w:tcW w:w="2592" w:type="dxa"/>
            <w:shd w:val="clear" w:color="auto" w:fill="F1F5F8"/>
            <w:vAlign w:val="center"/>
          </w:tcPr>
          <w:p w14:paraId="7CB6B8CD">
            <w:pPr>
              <w:spacing w:before="40" w:after="40" w:line="280" w:lineRule="exact"/>
            </w:pPr>
            <w:r>
              <w:rPr>
                <w:rFonts w:ascii="Arial Unicode MS" w:hAnsi="Arial Unicode MS" w:eastAsia="Arial Unicode MS"/>
                <w:b w:val="0"/>
                <w:color w:val="000000"/>
                <w:sz w:val="20"/>
              </w:rPr>
              <w:t>关键制约与改善落点</w:t>
            </w:r>
          </w:p>
        </w:tc>
        <w:tc>
          <w:tcPr>
            <w:tcW w:w="7488" w:type="dxa"/>
            <w:shd w:val="clear" w:color="auto" w:fill="F1F5F8"/>
            <w:vAlign w:val="center"/>
          </w:tcPr>
          <w:p w14:paraId="44044561">
            <w:pPr>
              <w:spacing w:before="40" w:after="40" w:line="280" w:lineRule="exact"/>
            </w:pPr>
            <w:r>
              <w:rPr>
                <w:rFonts w:ascii="Arial Unicode MS" w:hAnsi="Arial Unicode MS" w:eastAsia="Arial Unicode MS"/>
                <w:b w:val="0"/>
                <w:color w:val="000000"/>
                <w:sz w:val="20"/>
              </w:rPr>
              <w:t>以最小工程交付包连接技术输出、制造就绪和现场使用，落实内容、发布、适用判断与例外处置责任。</w:t>
            </w:r>
          </w:p>
        </w:tc>
      </w:tr>
    </w:tbl>
    <w:p w14:paraId="5D0E22A9">
      <w:pPr>
        <w:spacing w:before="20" w:after="20" w:line="120" w:lineRule="auto"/>
      </w:pPr>
    </w:p>
    <w:p w14:paraId="7A4A0684">
      <w:r>
        <w:rPr>
          <w:rFonts w:ascii="Arial Unicode MS" w:hAnsi="Arial Unicode MS" w:eastAsia="Arial Unicode MS"/>
          <w:color w:val="000000"/>
        </w:rPr>
        <w:t>分析结论 工程数据治理应以最小可执行交付包为主线，兼顾已有流程的灵活性，对影响质量、追溯和互换性的关键数据优先受控。</w:t>
      </w:r>
    </w:p>
    <w:p w14:paraId="3FBE7395">
      <w:r>
        <w:rPr>
          <w:rFonts w:ascii="Arial Unicode MS" w:hAnsi="Arial Unicode MS" w:eastAsia="Arial Unicode MS"/>
          <w:color w:val="000000"/>
        </w:rPr>
        <w:t>管理改善 明确AR2、AR562及AR56的NPI职能与AR562文控职能在内容编制、适用判断、发布和首产确认中的责任；规定必要资料、适用对象与受控偏离；新旧料按兼容性、库存和售后用途共同确定处置规则。</w:t>
      </w:r>
    </w:p>
    <w:p w14:paraId="22D085AA">
      <w:r>
        <w:rPr>
          <w:rFonts w:ascii="Arial Unicode MS" w:hAnsi="Arial Unicode MS" w:eastAsia="Arial Unicode MS"/>
          <w:color w:val="000000"/>
        </w:rPr>
        <w:t>系统改善 MES引用已发布的制造BOM、工序用料、SOP和测试依据，建立对象关联并记录实际使用版本、关键变更和批准偏离；PLM/工程管理继续承担工程定义与批准职责。</w:t>
      </w:r>
    </w:p>
    <w:p w14:paraId="0A10F372">
      <w:r>
        <w:rPr>
          <w:rFonts w:ascii="Arial Unicode MS" w:hAnsi="Arial Unicode MS" w:eastAsia="Arial Unicode MS"/>
          <w:color w:val="000000"/>
        </w:rPr>
        <w:t>优先级 P0。相关需求 F13 F14 F15 F16 F17 F59</w:t>
      </w:r>
    </w:p>
    <w:p w14:paraId="296833CB">
      <w:pPr>
        <w:pStyle w:val="5"/>
        <w:pageBreakBefore w:val="0"/>
      </w:pPr>
      <w:r>
        <w:rPr>
          <w:rFonts w:ascii="Arial Unicode MS" w:hAnsi="Arial Unicode MS" w:eastAsia="Arial Unicode MS"/>
          <w:color w:val="000000"/>
        </w:rPr>
        <w:t>P03 库存账务与真实交接错位</w:t>
      </w:r>
    </w:p>
    <w:p w14:paraId="4FDEF940">
      <w:pPr>
        <w:keepNext/>
      </w:pPr>
      <w:r>
        <w:rPr>
          <w:rFonts w:ascii="Arial Unicode MS" w:hAnsi="Arial Unicode MS" w:eastAsia="Arial Unicode MS"/>
          <w:color w:val="000000"/>
        </w:rPr>
        <w:t>关联问题 D06-P01 D06-P02 D06-P03 D06-P04 D06-P05。可用库存、耗用和可发运量难可靠判断，尾料及呆滞持续占用资金与空间。</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592"/>
        <w:gridCol w:w="7488"/>
      </w:tblGrid>
      <w:tr w14:paraId="3673F9C3">
        <w:trPr>
          <w:cantSplit/>
          <w:tblHeader/>
          <w:jc w:val="center"/>
        </w:trPr>
        <w:tc>
          <w:tcPr>
            <w:tcW w:w="2592" w:type="dxa"/>
            <w:shd w:val="clear" w:color="auto" w:fill="234A68"/>
            <w:vAlign w:val="center"/>
          </w:tcPr>
          <w:p w14:paraId="79CE1BE2">
            <w:pPr>
              <w:keepNext/>
              <w:spacing w:before="40" w:after="40" w:line="280" w:lineRule="exact"/>
              <w:jc w:val="center"/>
            </w:pPr>
            <w:r>
              <w:rPr>
                <w:rFonts w:ascii="Arial Unicode MS" w:hAnsi="Arial Unicode MS" w:eastAsia="Arial Unicode MS"/>
                <w:b/>
                <w:color w:val="FFFFFF"/>
                <w:sz w:val="20"/>
              </w:rPr>
              <w:t>递进追因</w:t>
            </w:r>
          </w:p>
        </w:tc>
        <w:tc>
          <w:tcPr>
            <w:tcW w:w="7488" w:type="dxa"/>
            <w:shd w:val="clear" w:color="auto" w:fill="234A68"/>
            <w:vAlign w:val="center"/>
          </w:tcPr>
          <w:p w14:paraId="4727DD7B">
            <w:pPr>
              <w:keepNext/>
              <w:spacing w:before="40" w:after="40" w:line="280" w:lineRule="exact"/>
              <w:jc w:val="center"/>
            </w:pPr>
            <w:r>
              <w:rPr>
                <w:rFonts w:ascii="Arial Unicode MS" w:hAnsi="Arial Unicode MS" w:eastAsia="Arial Unicode MS"/>
                <w:b/>
                <w:color w:val="FFFFFF"/>
                <w:sz w:val="20"/>
              </w:rPr>
              <w:t>原因解释及改善落点</w:t>
            </w:r>
          </w:p>
        </w:tc>
      </w:tr>
      <w:tr w14:paraId="143E0891">
        <w:trPr>
          <w:cantSplit/>
          <w:jc w:val="center"/>
        </w:trPr>
        <w:tc>
          <w:tcPr>
            <w:tcW w:w="2592" w:type="dxa"/>
            <w:vAlign w:val="center"/>
          </w:tcPr>
          <w:p w14:paraId="3DFA042F">
            <w:pPr>
              <w:spacing w:before="40" w:after="40" w:line="280" w:lineRule="exact"/>
            </w:pPr>
            <w:r>
              <w:rPr>
                <w:rFonts w:ascii="Arial Unicode MS" w:hAnsi="Arial Unicode MS" w:eastAsia="Arial Unicode MS"/>
                <w:b w:val="0"/>
                <w:color w:val="000000"/>
                <w:sz w:val="20"/>
              </w:rPr>
              <w:t>为何账面可用量不能稳定代表实物</w:t>
            </w:r>
          </w:p>
        </w:tc>
        <w:tc>
          <w:tcPr>
            <w:tcW w:w="7488" w:type="dxa"/>
            <w:vAlign w:val="center"/>
          </w:tcPr>
          <w:p w14:paraId="1919663A">
            <w:pPr>
              <w:spacing w:before="40" w:after="40" w:line="280" w:lineRule="exact"/>
            </w:pPr>
            <w:r>
              <w:rPr>
                <w:rFonts w:ascii="Arial Unicode MS" w:hAnsi="Arial Unicode MS" w:eastAsia="Arial Unicode MS"/>
                <w:b w:val="0"/>
                <w:color w:val="000000"/>
                <w:sz w:val="20"/>
              </w:rPr>
              <w:t>账务过账、包装完成、实物收库、实际使用和交运发生在不同时间；部分特殊用料只留下实物或局部登记。</w:t>
            </w:r>
          </w:p>
        </w:tc>
      </w:tr>
      <w:tr w14:paraId="0D19641F">
        <w:trPr>
          <w:cantSplit/>
          <w:jc w:val="center"/>
        </w:trPr>
        <w:tc>
          <w:tcPr>
            <w:tcW w:w="2592" w:type="dxa"/>
            <w:shd w:val="clear" w:color="auto" w:fill="F1F5F8"/>
            <w:vAlign w:val="center"/>
          </w:tcPr>
          <w:p w14:paraId="7A09872B">
            <w:pPr>
              <w:spacing w:before="40" w:after="40" w:line="280" w:lineRule="exact"/>
            </w:pPr>
            <w:r>
              <w:rPr>
                <w:rFonts w:ascii="Arial Unicode MS" w:hAnsi="Arial Unicode MS" w:eastAsia="Arial Unicode MS"/>
                <w:b w:val="0"/>
                <w:color w:val="000000"/>
                <w:sz w:val="20"/>
              </w:rPr>
              <w:t>交接分支为何造成差异</w:t>
            </w:r>
          </w:p>
        </w:tc>
        <w:tc>
          <w:tcPr>
            <w:tcW w:w="7488" w:type="dxa"/>
            <w:shd w:val="clear" w:color="auto" w:fill="F1F5F8"/>
            <w:vAlign w:val="center"/>
          </w:tcPr>
          <w:p w14:paraId="352E4BDC">
            <w:pPr>
              <w:spacing w:before="40" w:after="40" w:line="280" w:lineRule="exact"/>
            </w:pPr>
            <w:r>
              <w:rPr>
                <w:rFonts w:ascii="Arial Unicode MS" w:hAnsi="Arial Unicode MS" w:eastAsia="Arial Unicode MS"/>
                <w:b w:val="0"/>
                <w:color w:val="000000"/>
                <w:sz w:val="20"/>
              </w:rPr>
              <w:t>账务、物料身份转换和实物作业未被分别识别，单据完成易被当成后续动作替代；PCBA前后料号转换亦需保留映射，避免MES生成虚假物理工序。</w:t>
            </w:r>
          </w:p>
        </w:tc>
      </w:tr>
      <w:tr w14:paraId="56D7F9D9">
        <w:trPr>
          <w:cantSplit/>
          <w:jc w:val="center"/>
        </w:trPr>
        <w:tc>
          <w:tcPr>
            <w:tcW w:w="2592" w:type="dxa"/>
            <w:vAlign w:val="center"/>
          </w:tcPr>
          <w:p w14:paraId="64BBD9E4">
            <w:pPr>
              <w:spacing w:before="40" w:after="40" w:line="280" w:lineRule="exact"/>
            </w:pPr>
            <w:r>
              <w:rPr>
                <w:rFonts w:ascii="Arial Unicode MS" w:hAnsi="Arial Unicode MS" w:eastAsia="Arial Unicode MS"/>
                <w:b w:val="0"/>
                <w:color w:val="000000"/>
                <w:sz w:val="20"/>
              </w:rPr>
              <w:t>特殊事务分支为何造成差异</w:t>
            </w:r>
          </w:p>
        </w:tc>
        <w:tc>
          <w:tcPr>
            <w:tcW w:w="7488" w:type="dxa"/>
            <w:vAlign w:val="center"/>
          </w:tcPr>
          <w:p w14:paraId="37C86728">
            <w:pPr>
              <w:spacing w:before="40" w:after="40" w:line="280" w:lineRule="exact"/>
            </w:pPr>
            <w:r>
              <w:rPr>
                <w:rFonts w:ascii="Arial Unicode MS" w:hAnsi="Arial Unicode MS" w:eastAsia="Arial Unicode MS"/>
                <w:b w:val="0"/>
                <w:color w:val="000000"/>
                <w:sz w:val="20"/>
              </w:rPr>
              <w:t>备品、不含电池配置以及整瓶、整盘、称重和裁剪用料，不能由单一BOM标准扣料完整表达实际流转与余量。</w:t>
            </w:r>
          </w:p>
        </w:tc>
      </w:tr>
      <w:tr w14:paraId="6F44F11D">
        <w:trPr>
          <w:cantSplit/>
          <w:jc w:val="center"/>
        </w:trPr>
        <w:tc>
          <w:tcPr>
            <w:tcW w:w="2592" w:type="dxa"/>
            <w:shd w:val="clear" w:color="auto" w:fill="F1F5F8"/>
            <w:vAlign w:val="center"/>
          </w:tcPr>
          <w:p w14:paraId="30B4C84A">
            <w:pPr>
              <w:spacing w:before="40" w:after="40" w:line="280" w:lineRule="exact"/>
            </w:pPr>
            <w:r>
              <w:rPr>
                <w:rFonts w:ascii="Arial Unicode MS" w:hAnsi="Arial Unicode MS" w:eastAsia="Arial Unicode MS"/>
                <w:b w:val="0"/>
                <w:color w:val="000000"/>
                <w:sz w:val="20"/>
              </w:rPr>
              <w:t>为何两类差异持续存在</w:t>
            </w:r>
          </w:p>
        </w:tc>
        <w:tc>
          <w:tcPr>
            <w:tcW w:w="7488" w:type="dxa"/>
            <w:shd w:val="clear" w:color="auto" w:fill="F1F5F8"/>
            <w:vAlign w:val="center"/>
          </w:tcPr>
          <w:p w14:paraId="261C2CE5">
            <w:pPr>
              <w:spacing w:before="40" w:after="40" w:line="280" w:lineRule="exact"/>
            </w:pPr>
            <w:r>
              <w:rPr>
                <w:rFonts w:ascii="Arial Unicode MS" w:hAnsi="Arial Unicode MS" w:eastAsia="Arial Unicode MS"/>
                <w:b w:val="0"/>
                <w:color w:val="000000"/>
                <w:sz w:val="20"/>
              </w:rPr>
              <w:t>账务与实物事件、计量单位、客户配置和例外处理缺少共同事务口径，旧料限购、消耗及处置又未闭环。</w:t>
            </w:r>
          </w:p>
        </w:tc>
      </w:tr>
      <w:tr w14:paraId="5C4A27F1">
        <w:trPr>
          <w:cantSplit/>
          <w:jc w:val="center"/>
        </w:trPr>
        <w:tc>
          <w:tcPr>
            <w:tcW w:w="2592" w:type="dxa"/>
            <w:vAlign w:val="center"/>
          </w:tcPr>
          <w:p w14:paraId="0A6D56B1">
            <w:pPr>
              <w:spacing w:before="40" w:after="40" w:line="280" w:lineRule="exact"/>
            </w:pPr>
            <w:r>
              <w:rPr>
                <w:rFonts w:ascii="Arial Unicode MS" w:hAnsi="Arial Unicode MS" w:eastAsia="Arial Unicode MS"/>
                <w:b w:val="0"/>
                <w:color w:val="000000"/>
                <w:sz w:val="20"/>
              </w:rPr>
              <w:t>关键制约与改善落点</w:t>
            </w:r>
          </w:p>
        </w:tc>
        <w:tc>
          <w:tcPr>
            <w:tcW w:w="7488" w:type="dxa"/>
            <w:vAlign w:val="center"/>
          </w:tcPr>
          <w:p w14:paraId="68BC79F4">
            <w:pPr>
              <w:spacing w:before="40" w:after="40" w:line="280" w:lineRule="exact"/>
            </w:pPr>
            <w:r>
              <w:rPr>
                <w:rFonts w:ascii="Arial Unicode MS" w:hAnsi="Arial Unicode MS" w:eastAsia="Arial Unicode MS"/>
                <w:b w:val="0"/>
                <w:color w:val="000000"/>
                <w:sz w:val="20"/>
              </w:rPr>
              <w:t>先建立真实事件、数量状态与责任一致的事务模型，再叠加位置、扫码和自动化，避免固化既有差异。</w:t>
            </w:r>
          </w:p>
        </w:tc>
      </w:tr>
    </w:tbl>
    <w:p w14:paraId="281B38BC">
      <w:pPr>
        <w:spacing w:before="20" w:after="20" w:line="120" w:lineRule="auto"/>
      </w:pPr>
    </w:p>
    <w:p w14:paraId="7D8F8CFF">
      <w:r>
        <w:rPr>
          <w:rFonts w:ascii="Arial Unicode MS" w:hAnsi="Arial Unicode MS" w:eastAsia="Arial Unicode MS"/>
          <w:color w:val="000000"/>
        </w:rPr>
        <w:t>分析结论 空间和环境问题会放大作业难度，但不能用其解释全部账实差异；账务、实物交接和物料生命周期需分别治理。</w:t>
      </w:r>
    </w:p>
    <w:p w14:paraId="070AF679">
      <w:r>
        <w:rPr>
          <w:rFonts w:ascii="Arial Unicode MS" w:hAnsi="Arial Unicode MS" w:eastAsia="Arial Unicode MS"/>
          <w:color w:val="000000"/>
        </w:rPr>
        <w:t>管理改善 由相关业务责任位与AR4共同明确特殊物料、客户配置、实物交接和旧料处置规则；将采购、发料、耗用、回收与余量的单位及对账方式落实到具体对象。</w:t>
      </w:r>
    </w:p>
    <w:p w14:paraId="101D10B9">
      <w:r>
        <w:rPr>
          <w:rFonts w:ascii="Arial Unicode MS" w:hAnsi="Arial Unicode MS" w:eastAsia="Arial Unicode MS"/>
          <w:color w:val="000000"/>
        </w:rPr>
        <w:t>系统改善 ERP保持库存账务权威，MES记录实际投入、退补料及制造/包装交接，与ERP对账；轻量位置和交接能力先行，完整WMS与自动化以场地和作业条件具备为前提。</w:t>
      </w:r>
    </w:p>
    <w:p w14:paraId="5AE62337">
      <w:r>
        <w:rPr>
          <w:rFonts w:ascii="Arial Unicode MS" w:hAnsi="Arial Unicode MS" w:eastAsia="Arial Unicode MS"/>
          <w:color w:val="000000"/>
        </w:rPr>
        <w:t>优先级 P0关键事务；仓储深化按条件推进。相关需求 F10 F27 F28 F29 F30 F31 F34 F61 N11</w:t>
      </w:r>
    </w:p>
    <w:p w14:paraId="18300F24">
      <w:pPr>
        <w:pStyle w:val="5"/>
        <w:pageBreakBefore w:val="0"/>
      </w:pPr>
      <w:r>
        <w:rPr>
          <w:rFonts w:ascii="Arial Unicode MS" w:hAnsi="Arial Unicode MS" w:eastAsia="Arial Unicode MS"/>
          <w:color w:val="000000"/>
        </w:rPr>
        <w:t>P04 质量数据难用于追溯和交付</w:t>
      </w:r>
    </w:p>
    <w:p w14:paraId="5C6E844A">
      <w:pPr>
        <w:keepNext/>
      </w:pPr>
      <w:r>
        <w:rPr>
          <w:rFonts w:ascii="Arial Unicode MS" w:hAnsi="Arial Unicode MS" w:eastAsia="Arial Unicode MS"/>
          <w:color w:val="000000"/>
        </w:rPr>
        <w:t>关联问题 D07-P01 D07-P02 D07-P04 D07-P05 D07-P06 D07-P07 D08-P01 D08-P03 D09-P03 D10-P03。原始检验、测试和实际配置分散，重复记录未形成稳定统计与证据链，客诉或交付取证仍需人工收集。</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592"/>
        <w:gridCol w:w="7488"/>
      </w:tblGrid>
      <w:tr w14:paraId="37466510">
        <w:trPr>
          <w:cantSplit/>
          <w:tblHeader/>
          <w:jc w:val="center"/>
        </w:trPr>
        <w:tc>
          <w:tcPr>
            <w:tcW w:w="2592" w:type="dxa"/>
            <w:shd w:val="clear" w:color="auto" w:fill="234A68"/>
            <w:vAlign w:val="center"/>
          </w:tcPr>
          <w:p w14:paraId="1B16B61E">
            <w:pPr>
              <w:keepNext/>
              <w:spacing w:before="40" w:after="40" w:line="280" w:lineRule="exact"/>
              <w:jc w:val="center"/>
            </w:pPr>
            <w:r>
              <w:rPr>
                <w:rFonts w:ascii="Arial Unicode MS" w:hAnsi="Arial Unicode MS" w:eastAsia="Arial Unicode MS"/>
                <w:b/>
                <w:color w:val="FFFFFF"/>
                <w:sz w:val="20"/>
              </w:rPr>
              <w:t>递进追因</w:t>
            </w:r>
          </w:p>
        </w:tc>
        <w:tc>
          <w:tcPr>
            <w:tcW w:w="7488" w:type="dxa"/>
            <w:shd w:val="clear" w:color="auto" w:fill="234A68"/>
            <w:vAlign w:val="center"/>
          </w:tcPr>
          <w:p w14:paraId="615D1527">
            <w:pPr>
              <w:keepNext/>
              <w:spacing w:before="40" w:after="40" w:line="280" w:lineRule="exact"/>
              <w:jc w:val="center"/>
            </w:pPr>
            <w:r>
              <w:rPr>
                <w:rFonts w:ascii="Arial Unicode MS" w:hAnsi="Arial Unicode MS" w:eastAsia="Arial Unicode MS"/>
                <w:b/>
                <w:color w:val="FFFFFF"/>
                <w:sz w:val="20"/>
              </w:rPr>
              <w:t>原因解释及改善落点</w:t>
            </w:r>
          </w:p>
        </w:tc>
      </w:tr>
      <w:tr w14:paraId="0A26A4B0">
        <w:trPr>
          <w:cantSplit/>
          <w:jc w:val="center"/>
        </w:trPr>
        <w:tc>
          <w:tcPr>
            <w:tcW w:w="2592" w:type="dxa"/>
            <w:vAlign w:val="center"/>
          </w:tcPr>
          <w:p w14:paraId="4FDD30C9">
            <w:pPr>
              <w:spacing w:before="40" w:after="40" w:line="280" w:lineRule="exact"/>
            </w:pPr>
            <w:r>
              <w:rPr>
                <w:rFonts w:ascii="Arial Unicode MS" w:hAnsi="Arial Unicode MS" w:eastAsia="Arial Unicode MS"/>
                <w:b w:val="0"/>
                <w:color w:val="000000"/>
                <w:sz w:val="20"/>
              </w:rPr>
              <w:t>为何已有检验和自动测试仍难快速取证</w:t>
            </w:r>
          </w:p>
        </w:tc>
        <w:tc>
          <w:tcPr>
            <w:tcW w:w="7488" w:type="dxa"/>
            <w:vAlign w:val="center"/>
          </w:tcPr>
          <w:p w14:paraId="3351F92A">
            <w:pPr>
              <w:spacing w:before="40" w:after="40" w:line="280" w:lineRule="exact"/>
            </w:pPr>
            <w:r>
              <w:rPr>
                <w:rFonts w:ascii="Arial Unicode MS" w:hAnsi="Arial Unicode MS" w:eastAsia="Arial Unicode MS"/>
                <w:b w:val="0"/>
                <w:color w:val="000000"/>
                <w:sz w:val="20"/>
              </w:rPr>
              <w:t>电子系统多保留结果或局部绑定，检验实测明细、实际量具、原始文件、历次换件与报告取数没有连续关联。</w:t>
            </w:r>
          </w:p>
        </w:tc>
      </w:tr>
      <w:tr w14:paraId="57431A8A">
        <w:trPr>
          <w:cantSplit/>
          <w:jc w:val="center"/>
        </w:trPr>
        <w:tc>
          <w:tcPr>
            <w:tcW w:w="2592" w:type="dxa"/>
            <w:shd w:val="clear" w:color="auto" w:fill="F1F5F8"/>
            <w:vAlign w:val="center"/>
          </w:tcPr>
          <w:p w14:paraId="0E899041">
            <w:pPr>
              <w:spacing w:before="40" w:after="40" w:line="280" w:lineRule="exact"/>
            </w:pPr>
            <w:r>
              <w:rPr>
                <w:rFonts w:ascii="Arial Unicode MS" w:hAnsi="Arial Unicode MS" w:eastAsia="Arial Unicode MS"/>
                <w:b w:val="0"/>
                <w:color w:val="000000"/>
                <w:sz w:val="20"/>
              </w:rPr>
              <w:t>原始数据分支为何难关联</w:t>
            </w:r>
          </w:p>
        </w:tc>
        <w:tc>
          <w:tcPr>
            <w:tcW w:w="7488" w:type="dxa"/>
            <w:shd w:val="clear" w:color="auto" w:fill="F1F5F8"/>
            <w:vAlign w:val="center"/>
          </w:tcPr>
          <w:p w14:paraId="38B84493">
            <w:pPr>
              <w:spacing w:before="40" w:after="40" w:line="280" w:lineRule="exact"/>
            </w:pPr>
            <w:r>
              <w:rPr>
                <w:rFonts w:ascii="Arial Unicode MS" w:hAnsi="Arial Unicode MS" w:eastAsia="Arial Unicode MS"/>
                <w:b w:val="0"/>
                <w:color w:val="000000"/>
                <w:sz w:val="20"/>
              </w:rPr>
              <w:t>纸表按单据归档，测试数据按工位或软件保存；任务、检验集合、供应商批次和产品SN的对象关系不一致，跨环节只能人工拼接。</w:t>
            </w:r>
          </w:p>
        </w:tc>
      </w:tr>
      <w:tr w14:paraId="72E8F1C3">
        <w:trPr>
          <w:cantSplit/>
          <w:jc w:val="center"/>
        </w:trPr>
        <w:tc>
          <w:tcPr>
            <w:tcW w:w="2592" w:type="dxa"/>
            <w:vAlign w:val="center"/>
          </w:tcPr>
          <w:p w14:paraId="093D6AD9">
            <w:pPr>
              <w:spacing w:before="40" w:after="40" w:line="280" w:lineRule="exact"/>
            </w:pPr>
            <w:r>
              <w:rPr>
                <w:rFonts w:ascii="Arial Unicode MS" w:hAnsi="Arial Unicode MS" w:eastAsia="Arial Unicode MS"/>
                <w:b w:val="0"/>
                <w:color w:val="000000"/>
                <w:sz w:val="20"/>
              </w:rPr>
              <w:t>身份与真实性分支为何难恢复</w:t>
            </w:r>
          </w:p>
        </w:tc>
        <w:tc>
          <w:tcPr>
            <w:tcW w:w="7488" w:type="dxa"/>
            <w:vAlign w:val="center"/>
          </w:tcPr>
          <w:p w14:paraId="661D2A66">
            <w:pPr>
              <w:spacing w:before="40" w:after="40" w:line="280" w:lineRule="exact"/>
            </w:pPr>
            <w:r>
              <w:rPr>
                <w:rFonts w:ascii="Arial Unicode MS" w:hAnsi="Arial Unicode MS" w:eastAsia="Arial Unicode MS"/>
                <w:b w:val="0"/>
                <w:color w:val="000000"/>
                <w:sz w:val="20"/>
              </w:rPr>
              <w:t>部分来料缺可用身份，拆包转车与尾料混放可能削弱来源；已有换件登记又未完整执行，后端首次绑定无法证明最终配置。</w:t>
            </w:r>
          </w:p>
        </w:tc>
      </w:tr>
      <w:tr w14:paraId="6C15169D">
        <w:trPr>
          <w:cantSplit/>
          <w:jc w:val="center"/>
        </w:trPr>
        <w:tc>
          <w:tcPr>
            <w:tcW w:w="2592" w:type="dxa"/>
            <w:shd w:val="clear" w:color="auto" w:fill="F1F5F8"/>
            <w:vAlign w:val="center"/>
          </w:tcPr>
          <w:p w14:paraId="4DCB1871">
            <w:pPr>
              <w:spacing w:before="40" w:after="40" w:line="280" w:lineRule="exact"/>
            </w:pPr>
            <w:r>
              <w:rPr>
                <w:rFonts w:ascii="Arial Unicode MS" w:hAnsi="Arial Unicode MS" w:eastAsia="Arial Unicode MS"/>
                <w:b w:val="0"/>
                <w:color w:val="000000"/>
                <w:sz w:val="20"/>
              </w:rPr>
              <w:t>为何归集数据后仍未必可直接分析</w:t>
            </w:r>
          </w:p>
        </w:tc>
        <w:tc>
          <w:tcPr>
            <w:tcW w:w="7488" w:type="dxa"/>
            <w:shd w:val="clear" w:color="auto" w:fill="F1F5F8"/>
            <w:vAlign w:val="center"/>
          </w:tcPr>
          <w:p w14:paraId="3F2D3E30">
            <w:pPr>
              <w:spacing w:before="40" w:after="40" w:line="280" w:lineRule="exact"/>
            </w:pPr>
            <w:r>
              <w:rPr>
                <w:rFonts w:ascii="Arial Unicode MS" w:hAnsi="Arial Unicode MS" w:eastAsia="Arial Unicode MS"/>
                <w:b w:val="0"/>
                <w:color w:val="000000"/>
                <w:sz w:val="20"/>
              </w:rPr>
              <w:t>部分检验表的版本、抽样和外观判定依据不完整，数据缺少可比较的过程分组，单纯电子录入不能自动形成可靠判定和SPC。</w:t>
            </w:r>
          </w:p>
        </w:tc>
      </w:tr>
      <w:tr w14:paraId="0BDFBB1A">
        <w:trPr>
          <w:cantSplit/>
          <w:jc w:val="center"/>
        </w:trPr>
        <w:tc>
          <w:tcPr>
            <w:tcW w:w="2592" w:type="dxa"/>
            <w:vAlign w:val="center"/>
          </w:tcPr>
          <w:p w14:paraId="55DEEC1E">
            <w:pPr>
              <w:spacing w:before="40" w:after="40" w:line="280" w:lineRule="exact"/>
            </w:pPr>
            <w:r>
              <w:rPr>
                <w:rFonts w:ascii="Arial Unicode MS" w:hAnsi="Arial Unicode MS" w:eastAsia="Arial Unicode MS"/>
                <w:b w:val="0"/>
                <w:color w:val="000000"/>
                <w:sz w:val="20"/>
              </w:rPr>
              <w:t>为何重复统计仍耗费人力</w:t>
            </w:r>
          </w:p>
        </w:tc>
        <w:tc>
          <w:tcPr>
            <w:tcW w:w="7488" w:type="dxa"/>
            <w:vAlign w:val="center"/>
          </w:tcPr>
          <w:p w14:paraId="4FADD678">
            <w:pPr>
              <w:spacing w:before="40" w:after="40" w:line="280" w:lineRule="exact"/>
            </w:pPr>
            <w:r>
              <w:rPr>
                <w:rFonts w:ascii="Arial Unicode MS" w:hAnsi="Arial Unicode MS" w:eastAsia="Arial Unicode MS"/>
                <w:b w:val="0"/>
                <w:color w:val="000000"/>
                <w:sz w:val="20"/>
              </w:rPr>
              <w:t>原批次记录复印附日报，再由文员转录，跨日工作量与最终批次结果未分层；一次原始记录应生成各所需视图，留存及替代按批准规则执行。</w:t>
            </w:r>
          </w:p>
        </w:tc>
      </w:tr>
      <w:tr w14:paraId="4422891A">
        <w:trPr>
          <w:cantSplit/>
          <w:jc w:val="center"/>
        </w:trPr>
        <w:tc>
          <w:tcPr>
            <w:tcW w:w="2592" w:type="dxa"/>
            <w:shd w:val="clear" w:color="auto" w:fill="F1F5F8"/>
            <w:vAlign w:val="center"/>
          </w:tcPr>
          <w:p w14:paraId="33525391">
            <w:pPr>
              <w:spacing w:before="40" w:after="40" w:line="280" w:lineRule="exact"/>
            </w:pPr>
            <w:r>
              <w:rPr>
                <w:rFonts w:ascii="Arial Unicode MS" w:hAnsi="Arial Unicode MS" w:eastAsia="Arial Unicode MS"/>
                <w:b w:val="0"/>
                <w:color w:val="000000"/>
                <w:sz w:val="20"/>
              </w:rPr>
              <w:t>关键制约与改善落点</w:t>
            </w:r>
          </w:p>
        </w:tc>
        <w:tc>
          <w:tcPr>
            <w:tcW w:w="7488" w:type="dxa"/>
            <w:shd w:val="clear" w:color="auto" w:fill="F1F5F8"/>
            <w:vAlign w:val="center"/>
          </w:tcPr>
          <w:p w14:paraId="332A6B02">
            <w:pPr>
              <w:spacing w:before="40" w:after="40" w:line="280" w:lineRule="exact"/>
            </w:pPr>
            <w:r>
              <w:rPr>
                <w:rFonts w:ascii="Arial Unicode MS" w:hAnsi="Arial Unicode MS" w:eastAsia="Arial Unicode MS"/>
                <w:b w:val="0"/>
                <w:color w:val="000000"/>
                <w:sz w:val="20"/>
              </w:rPr>
              <w:t>先统一对象、适用依据和必记事件，连接原始证据与实际变化，以采集对账和实物抽核验证；在可靠数据上开展报告、客诉取证和适用统计。</w:t>
            </w:r>
          </w:p>
        </w:tc>
      </w:tr>
    </w:tbl>
    <w:p w14:paraId="7A84C563">
      <w:pPr>
        <w:spacing w:before="20" w:after="20" w:line="120" w:lineRule="auto"/>
      </w:pPr>
    </w:p>
    <w:p w14:paraId="548106A5">
      <w:r>
        <w:rPr>
          <w:rFonts w:ascii="Arial Unicode MS" w:hAnsi="Arial Unicode MS" w:eastAsia="Arial Unicode MS"/>
          <w:color w:val="000000"/>
        </w:rPr>
        <w:t>分析结论 质量信息化应同时解决记录易用、身份连续和证据可还原。应复用已有检验模板、审批和测试能力，将“检验完成”延伸为有依据、有原值、能关联实物与历史的制造记录；有量具校准或结果上传，并不自动代表形成完整追溯。</w:t>
      </w:r>
    </w:p>
    <w:p w14:paraId="72FA7AEC">
      <w:r>
        <w:rPr>
          <w:rFonts w:ascii="Arial Unicode MS" w:hAnsi="Arial Unicode MS" w:eastAsia="Arial Unicode MS"/>
          <w:color w:val="000000"/>
        </w:rPr>
        <w:t>管理改善 明确检验表及抽样版本、模组外观判定样例、关键量具使用关联和换件必录责任；统一供应商批次、送检/合检和产品身份定义，按实际样本核查来源与数量。质量与研发共同定义8D取证所需事实及改善验证口径。</w:t>
      </w:r>
    </w:p>
    <w:p w14:paraId="3A2E6FFB">
      <w:r>
        <w:rPr>
          <w:rFonts w:ascii="Arial Unicode MS" w:hAnsi="Arial Unicode MS" w:eastAsia="Arial Unicode MS"/>
          <w:color w:val="000000"/>
        </w:rPr>
        <w:t>系统改善 以一次形成的电子原始记录连接任务、样本、项目、依据、人员及必要量具，支持合检与跨日完成；日报及周月报由源记录生成并可下钻。保留三类过程/成品报告关系、测试失败复测、实际版本及原始索引，连接拆包、转车、投入和换件，按SN和来源正反追溯。留存按批准规则，SPC在数据分组稳定后深化。</w:t>
      </w:r>
    </w:p>
    <w:p w14:paraId="56A19FD4">
      <w:r>
        <w:rPr>
          <w:rFonts w:ascii="Arial Unicode MS" w:hAnsi="Arial Unicode MS" w:eastAsia="Arial Unicode MS"/>
          <w:color w:val="000000"/>
        </w:rPr>
        <w:t>优先级 P0记录、基础统计与追溯；P1取证协同；P2适用统计。相关需求 F07 F36 F37 F38 F39 F40 F43 F46 F48 F63 F64 F66 F67 N10 N12</w:t>
      </w:r>
    </w:p>
    <w:p w14:paraId="7EF1D6E0">
      <w:pPr>
        <w:pStyle w:val="5"/>
        <w:pageBreakBefore w:val="0"/>
      </w:pPr>
      <w:r>
        <w:rPr>
          <w:rFonts w:ascii="Arial Unicode MS" w:hAnsi="Arial Unicode MS" w:eastAsia="Arial Unicode MS"/>
          <w:color w:val="000000"/>
        </w:rPr>
        <w:t>P05 现场异常入口与受影响对象控制未贯通</w:t>
      </w:r>
    </w:p>
    <w:p w14:paraId="1F4D6B54">
      <w:pPr>
        <w:keepNext/>
      </w:pPr>
      <w:r>
        <w:rPr>
          <w:rFonts w:ascii="Arial Unicode MS" w:hAnsi="Arial Unicode MS" w:eastAsia="Arial Unicode MS"/>
          <w:color w:val="000000"/>
        </w:rPr>
        <w:t>关联问题 D02-P01 D02-P02 D02-P03 D05-P03 D05-P04 D07-P03 D07-P06。现场发现、既有评审、实际隔离与恢复未形成同一对象的连续状态，异常任务和受影响物料仍需人工持续跟踪。</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592"/>
        <w:gridCol w:w="7488"/>
      </w:tblGrid>
      <w:tr w14:paraId="3AE538AF">
        <w:trPr>
          <w:cantSplit/>
          <w:tblHeader/>
          <w:jc w:val="center"/>
        </w:trPr>
        <w:tc>
          <w:tcPr>
            <w:tcW w:w="2592" w:type="dxa"/>
            <w:shd w:val="clear" w:color="auto" w:fill="234A68"/>
            <w:vAlign w:val="center"/>
          </w:tcPr>
          <w:p w14:paraId="3384BFB6">
            <w:pPr>
              <w:keepNext/>
              <w:spacing w:before="40" w:after="40" w:line="280" w:lineRule="exact"/>
              <w:jc w:val="center"/>
            </w:pPr>
            <w:r>
              <w:rPr>
                <w:rFonts w:ascii="Arial Unicode MS" w:hAnsi="Arial Unicode MS" w:eastAsia="Arial Unicode MS"/>
                <w:b/>
                <w:color w:val="FFFFFF"/>
                <w:sz w:val="20"/>
              </w:rPr>
              <w:t>递进追因</w:t>
            </w:r>
          </w:p>
        </w:tc>
        <w:tc>
          <w:tcPr>
            <w:tcW w:w="7488" w:type="dxa"/>
            <w:shd w:val="clear" w:color="auto" w:fill="234A68"/>
            <w:vAlign w:val="center"/>
          </w:tcPr>
          <w:p w14:paraId="03E6FDB7">
            <w:pPr>
              <w:keepNext/>
              <w:spacing w:before="40" w:after="40" w:line="280" w:lineRule="exact"/>
              <w:jc w:val="center"/>
            </w:pPr>
            <w:r>
              <w:rPr>
                <w:rFonts w:ascii="Arial Unicode MS" w:hAnsi="Arial Unicode MS" w:eastAsia="Arial Unicode MS"/>
                <w:b/>
                <w:color w:val="FFFFFF"/>
                <w:sz w:val="20"/>
              </w:rPr>
              <w:t>原因解释及改善落点</w:t>
            </w:r>
          </w:p>
        </w:tc>
      </w:tr>
      <w:tr w14:paraId="0AA8B092">
        <w:trPr>
          <w:cantSplit/>
          <w:jc w:val="center"/>
        </w:trPr>
        <w:tc>
          <w:tcPr>
            <w:tcW w:w="2592" w:type="dxa"/>
            <w:vAlign w:val="center"/>
          </w:tcPr>
          <w:p w14:paraId="34F70A7B">
            <w:pPr>
              <w:spacing w:before="40" w:after="40" w:line="280" w:lineRule="exact"/>
            </w:pPr>
            <w:r>
              <w:rPr>
                <w:rFonts w:ascii="Arial Unicode MS" w:hAnsi="Arial Unicode MS" w:eastAsia="Arial Unicode MS"/>
                <w:b w:val="0"/>
                <w:color w:val="000000"/>
                <w:sz w:val="20"/>
              </w:rPr>
              <w:t>为何部分过程问题难及时承接</w:t>
            </w:r>
          </w:p>
        </w:tc>
        <w:tc>
          <w:tcPr>
            <w:tcW w:w="7488" w:type="dxa"/>
            <w:vAlign w:val="center"/>
          </w:tcPr>
          <w:p w14:paraId="3BD9D235">
            <w:pPr>
              <w:spacing w:before="40" w:after="40" w:line="280" w:lineRule="exact"/>
            </w:pPr>
            <w:r>
              <w:rPr>
                <w:rFonts w:ascii="Arial Unicode MS" w:hAnsi="Arial Unicode MS" w:eastAsia="Arial Unicode MS"/>
                <w:b w:val="0"/>
                <w:color w:val="000000"/>
                <w:sz w:val="20"/>
              </w:rPr>
              <w:t>操作员反馈、个人Excel和实物展示分散，缺少共享首接与责任状态；应先统一轻量入口，再按频发、紧急及风险决定升级和控制范围。</w:t>
            </w:r>
          </w:p>
        </w:tc>
      </w:tr>
      <w:tr w14:paraId="14611999">
        <w:trPr>
          <w:cantSplit/>
          <w:jc w:val="center"/>
        </w:trPr>
        <w:tc>
          <w:tcPr>
            <w:tcW w:w="2592" w:type="dxa"/>
            <w:shd w:val="clear" w:color="auto" w:fill="F1F5F8"/>
            <w:vAlign w:val="center"/>
          </w:tcPr>
          <w:p w14:paraId="448CA6A4">
            <w:pPr>
              <w:spacing w:before="40" w:after="40" w:line="280" w:lineRule="exact"/>
            </w:pPr>
            <w:r>
              <w:rPr>
                <w:rFonts w:ascii="Arial Unicode MS" w:hAnsi="Arial Unicode MS" w:eastAsia="Arial Unicode MS"/>
                <w:b w:val="0"/>
                <w:color w:val="000000"/>
                <w:sz w:val="20"/>
              </w:rPr>
              <w:t>为何有异常审批仍可能继续误流转</w:t>
            </w:r>
          </w:p>
        </w:tc>
        <w:tc>
          <w:tcPr>
            <w:tcW w:w="7488" w:type="dxa"/>
            <w:shd w:val="clear" w:color="auto" w:fill="F1F5F8"/>
            <w:vAlign w:val="center"/>
          </w:tcPr>
          <w:p w14:paraId="39DC906C">
            <w:pPr>
              <w:spacing w:before="40" w:after="40" w:line="280" w:lineRule="exact"/>
            </w:pPr>
            <w:r>
              <w:rPr>
                <w:rFonts w:ascii="Arial Unicode MS" w:hAnsi="Arial Unicode MS" w:eastAsia="Arial Unicode MS"/>
                <w:b w:val="0"/>
                <w:color w:val="000000"/>
                <w:sz w:val="20"/>
              </w:rPr>
              <w:t>飞书/ERP审批、现场标签和实际物料位置分别记录，审批结论未自动说明哪些库存、在制或产品已被限制。</w:t>
            </w:r>
          </w:p>
        </w:tc>
      </w:tr>
      <w:tr w14:paraId="234525C2">
        <w:trPr>
          <w:cantSplit/>
          <w:jc w:val="center"/>
        </w:trPr>
        <w:tc>
          <w:tcPr>
            <w:tcW w:w="2592" w:type="dxa"/>
            <w:vAlign w:val="center"/>
          </w:tcPr>
          <w:p w14:paraId="0C0F2ACC">
            <w:pPr>
              <w:spacing w:before="40" w:after="40" w:line="280" w:lineRule="exact"/>
            </w:pPr>
            <w:r>
              <w:rPr>
                <w:rFonts w:ascii="Arial Unicode MS" w:hAnsi="Arial Unicode MS" w:eastAsia="Arial Unicode MS"/>
                <w:b w:val="0"/>
                <w:color w:val="000000"/>
                <w:sz w:val="20"/>
              </w:rPr>
              <w:t>为何受影响对象和控制状态难一致</w:t>
            </w:r>
          </w:p>
        </w:tc>
        <w:tc>
          <w:tcPr>
            <w:tcW w:w="7488" w:type="dxa"/>
            <w:vAlign w:val="center"/>
          </w:tcPr>
          <w:p w14:paraId="2334B703">
            <w:pPr>
              <w:spacing w:before="40" w:after="40" w:line="280" w:lineRule="exact"/>
            </w:pPr>
            <w:r>
              <w:rPr>
                <w:rFonts w:ascii="Arial Unicode MS" w:hAnsi="Arial Unicode MS" w:eastAsia="Arial Unicode MS"/>
                <w:b w:val="0"/>
                <w:color w:val="000000"/>
                <w:sz w:val="20"/>
              </w:rPr>
              <w:t>来源批次与产品关系不连续，通知、实物隔离、维修复测和解除执行缺少共同对象清单与数量核对。</w:t>
            </w:r>
          </w:p>
        </w:tc>
      </w:tr>
      <w:tr w14:paraId="2EB28819">
        <w:trPr>
          <w:cantSplit/>
          <w:jc w:val="center"/>
        </w:trPr>
        <w:tc>
          <w:tcPr>
            <w:tcW w:w="2592" w:type="dxa"/>
            <w:shd w:val="clear" w:color="auto" w:fill="F1F5F8"/>
            <w:vAlign w:val="center"/>
          </w:tcPr>
          <w:p w14:paraId="10BE92A2">
            <w:pPr>
              <w:spacing w:before="40" w:after="40" w:line="280" w:lineRule="exact"/>
            </w:pPr>
            <w:r>
              <w:rPr>
                <w:rFonts w:ascii="Arial Unicode MS" w:hAnsi="Arial Unicode MS" w:eastAsia="Arial Unicode MS"/>
                <w:b w:val="0"/>
                <w:color w:val="000000"/>
                <w:sz w:val="20"/>
              </w:rPr>
              <w:t>为何增加一道审批不能解决</w:t>
            </w:r>
          </w:p>
        </w:tc>
        <w:tc>
          <w:tcPr>
            <w:tcW w:w="7488" w:type="dxa"/>
            <w:shd w:val="clear" w:color="auto" w:fill="F1F5F8"/>
            <w:vAlign w:val="center"/>
          </w:tcPr>
          <w:p w14:paraId="4C6B3704">
            <w:pPr>
              <w:spacing w:before="40" w:after="40" w:line="280" w:lineRule="exact"/>
            </w:pPr>
            <w:r>
              <w:rPr>
                <w:rFonts w:ascii="Arial Unicode MS" w:hAnsi="Arial Unicode MS" w:eastAsia="Arial Unicode MS"/>
                <w:b w:val="0"/>
                <w:color w:val="000000"/>
                <w:sz w:val="20"/>
              </w:rPr>
              <w:t>退货、让步、返工、报废及部分解除对应不同路径；如果没有状态生效、执行回执和解除依据，审批仍无法证明控制已落地。</w:t>
            </w:r>
          </w:p>
        </w:tc>
      </w:tr>
      <w:tr w14:paraId="34802799">
        <w:trPr>
          <w:cantSplit/>
          <w:jc w:val="center"/>
        </w:trPr>
        <w:tc>
          <w:tcPr>
            <w:tcW w:w="2592" w:type="dxa"/>
            <w:vAlign w:val="center"/>
          </w:tcPr>
          <w:p w14:paraId="35694769">
            <w:pPr>
              <w:spacing w:before="40" w:after="40" w:line="280" w:lineRule="exact"/>
            </w:pPr>
            <w:r>
              <w:rPr>
                <w:rFonts w:ascii="Arial Unicode MS" w:hAnsi="Arial Unicode MS" w:eastAsia="Arial Unicode MS"/>
                <w:b w:val="0"/>
                <w:color w:val="000000"/>
                <w:sz w:val="20"/>
              </w:rPr>
              <w:t>关键制约与改善落点</w:t>
            </w:r>
          </w:p>
        </w:tc>
        <w:tc>
          <w:tcPr>
            <w:tcW w:w="7488" w:type="dxa"/>
            <w:vAlign w:val="center"/>
          </w:tcPr>
          <w:p w14:paraId="2C560EF6">
            <w:pPr>
              <w:spacing w:before="40" w:after="40" w:line="280" w:lineRule="exact"/>
            </w:pPr>
            <w:r>
              <w:rPr>
                <w:rFonts w:ascii="Arial Unicode MS" w:hAnsi="Arial Unicode MS" w:eastAsia="Arial Unicode MS"/>
                <w:b w:val="0"/>
                <w:color w:val="000000"/>
                <w:sz w:val="20"/>
              </w:rPr>
              <w:t>沿异常对象建立发现、定位、承接、隔离冻结、处置及授权恢复闭环，复用现有审批并对ERP/MES执行结果对账，保留未受影响对象继续作业的弹性。</w:t>
            </w:r>
          </w:p>
        </w:tc>
      </w:tr>
    </w:tbl>
    <w:p w14:paraId="75D38CEC">
      <w:pPr>
        <w:spacing w:before="20" w:after="20" w:line="120" w:lineRule="auto"/>
      </w:pPr>
    </w:p>
    <w:p w14:paraId="687BE927">
      <w:r>
        <w:rPr>
          <w:rFonts w:ascii="Arial Unicode MS" w:hAnsi="Arial Unicode MS" w:eastAsia="Arial Unicode MS"/>
          <w:color w:val="000000"/>
        </w:rPr>
        <w:t>分析结论 重点是让批准结论落实到具体对象的执行状态，并能证明已隔离、已处置或已解除。已有岗位资格、调配承接及飞书8D流程应复用，不能将其重复建设为一套孤立审批。</w:t>
      </w:r>
    </w:p>
    <w:p w14:paraId="1D7E0028">
      <w:r>
        <w:rPr>
          <w:rFonts w:ascii="Arial Unicode MS" w:hAnsi="Arial Unicode MS" w:eastAsia="Arial Unicode MS"/>
          <w:color w:val="000000"/>
        </w:rPr>
        <w:t>管理改善 统一问题发现入口和首接承接要求，按紧急程度、重复性及风险组织升级；分清发现现象、技术原因、质量评审及处置授权。关键岗位沿用既有资格管理，物理隔离、返检、返工、退料、报废和解除分别明确必要动作及完成证据。</w:t>
      </w:r>
    </w:p>
    <w:p w14:paraId="75AC2D45">
      <w:r>
        <w:rPr>
          <w:rFonts w:ascii="Arial Unicode MS" w:hAnsi="Arial Unicode MS" w:eastAsia="Arial Unicode MS"/>
          <w:color w:val="000000"/>
        </w:rPr>
        <w:t>系统改善 轻量提报关联对象、来源、现象和证据，衔接既有飞书/ERP评审，需控制对象再进入冻结及授权解除链。维修允许临时混型归组而逐件留履历；部分不良、待处置与可用量分开核对。通知或审批完成不自动等于冻结、实物处置或库存事务已执行，失败应告警并保留回执。</w:t>
      </w:r>
    </w:p>
    <w:p w14:paraId="3ED0DA5F">
      <w:r>
        <w:rPr>
          <w:rFonts w:ascii="Arial Unicode MS" w:hAnsi="Arial Unicode MS" w:eastAsia="Arial Unicode MS"/>
          <w:color w:val="000000"/>
        </w:rPr>
        <w:t>优先级 P0状态控制；P1取证协同。相关需求 F04 F05 F06 F22 F24 F38 F41 F65 F66 N01 N03 N11</w:t>
      </w:r>
    </w:p>
    <w:p w14:paraId="67C2FC94">
      <w:pPr>
        <w:pStyle w:val="5"/>
        <w:pageBreakBefore/>
      </w:pPr>
      <w:r>
        <w:rPr>
          <w:rFonts w:ascii="Arial Unicode MS" w:hAnsi="Arial Unicode MS" w:eastAsia="Arial Unicode MS"/>
          <w:color w:val="000000"/>
        </w:rPr>
        <w:t>P06 旧MES应用适配与持续维护能力不足</w:t>
      </w:r>
    </w:p>
    <w:p w14:paraId="6252B655">
      <w:pPr>
        <w:keepNext/>
      </w:pPr>
      <w:r>
        <w:rPr>
          <w:rFonts w:ascii="Arial Unicode MS" w:hAnsi="Arial Unicode MS" w:eastAsia="Arial Unicode MS"/>
          <w:color w:val="000000"/>
        </w:rPr>
        <w:t>关联问题 D10-P01 D10-P02 D10-P04 D10-P05 D01-P01。作业和报表体验下降，接口与运维问题增加，替换时历史及在制连续性风险较高。</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592"/>
        <w:gridCol w:w="7488"/>
      </w:tblGrid>
      <w:tr w14:paraId="12961512">
        <w:trPr>
          <w:cantSplit/>
          <w:tblHeader/>
          <w:jc w:val="center"/>
        </w:trPr>
        <w:tc>
          <w:tcPr>
            <w:tcW w:w="2592" w:type="dxa"/>
            <w:shd w:val="clear" w:color="auto" w:fill="234A68"/>
            <w:vAlign w:val="center"/>
          </w:tcPr>
          <w:p w14:paraId="478169D4">
            <w:pPr>
              <w:keepNext/>
              <w:spacing w:before="40" w:after="40" w:line="280" w:lineRule="exact"/>
              <w:jc w:val="center"/>
            </w:pPr>
            <w:r>
              <w:rPr>
                <w:rFonts w:ascii="Arial Unicode MS" w:hAnsi="Arial Unicode MS" w:eastAsia="Arial Unicode MS"/>
                <w:b/>
                <w:color w:val="FFFFFF"/>
                <w:sz w:val="20"/>
              </w:rPr>
              <w:t>递进追因</w:t>
            </w:r>
          </w:p>
        </w:tc>
        <w:tc>
          <w:tcPr>
            <w:tcW w:w="7488" w:type="dxa"/>
            <w:shd w:val="clear" w:color="auto" w:fill="234A68"/>
            <w:vAlign w:val="center"/>
          </w:tcPr>
          <w:p w14:paraId="49925713">
            <w:pPr>
              <w:keepNext/>
              <w:spacing w:before="40" w:after="40" w:line="280" w:lineRule="exact"/>
              <w:jc w:val="center"/>
            </w:pPr>
            <w:r>
              <w:rPr>
                <w:rFonts w:ascii="Arial Unicode MS" w:hAnsi="Arial Unicode MS" w:eastAsia="Arial Unicode MS"/>
                <w:b/>
                <w:color w:val="FFFFFF"/>
                <w:sz w:val="20"/>
              </w:rPr>
              <w:t>原因解释及改善落点</w:t>
            </w:r>
          </w:p>
        </w:tc>
      </w:tr>
      <w:tr w14:paraId="30F9A72D">
        <w:trPr>
          <w:cantSplit/>
          <w:jc w:val="center"/>
        </w:trPr>
        <w:tc>
          <w:tcPr>
            <w:tcW w:w="2592" w:type="dxa"/>
            <w:vAlign w:val="center"/>
          </w:tcPr>
          <w:p w14:paraId="1B727859">
            <w:pPr>
              <w:spacing w:before="40" w:after="40" w:line="280" w:lineRule="exact"/>
            </w:pPr>
            <w:r>
              <w:rPr>
                <w:rFonts w:ascii="Arial Unicode MS" w:hAnsi="Arial Unicode MS" w:eastAsia="Arial Unicode MS"/>
                <w:b w:val="0"/>
                <w:color w:val="000000"/>
                <w:sz w:val="20"/>
              </w:rPr>
              <w:t>为何系统问题反复影响使用</w:t>
            </w:r>
          </w:p>
        </w:tc>
        <w:tc>
          <w:tcPr>
            <w:tcW w:w="7488" w:type="dxa"/>
            <w:vAlign w:val="center"/>
          </w:tcPr>
          <w:p w14:paraId="020D35FB">
            <w:pPr>
              <w:spacing w:before="40" w:after="40" w:line="280" w:lineRule="exact"/>
            </w:pPr>
            <w:r>
              <w:rPr>
                <w:rFonts w:ascii="Arial Unicode MS" w:hAnsi="Arial Unicode MS" w:eastAsia="Arial Unicode MS"/>
                <w:b w:val="0"/>
                <w:color w:val="000000"/>
                <w:sz w:val="20"/>
              </w:rPr>
              <w:t>业务操作、报表和接口不能完整支撑实际流程；定位与改进还需从多方还原实施历史和配置。</w:t>
            </w:r>
          </w:p>
        </w:tc>
      </w:tr>
      <w:tr w14:paraId="50D0CF78">
        <w:trPr>
          <w:cantSplit/>
          <w:jc w:val="center"/>
        </w:trPr>
        <w:tc>
          <w:tcPr>
            <w:tcW w:w="2592" w:type="dxa"/>
            <w:shd w:val="clear" w:color="auto" w:fill="F1F5F8"/>
            <w:vAlign w:val="center"/>
          </w:tcPr>
          <w:p w14:paraId="1113BABE">
            <w:pPr>
              <w:spacing w:before="40" w:after="40" w:line="280" w:lineRule="exact"/>
            </w:pPr>
            <w:r>
              <w:rPr>
                <w:rFonts w:ascii="Arial Unicode MS" w:hAnsi="Arial Unicode MS" w:eastAsia="Arial Unicode MS"/>
                <w:b w:val="0"/>
                <w:color w:val="000000"/>
                <w:sz w:val="20"/>
              </w:rPr>
              <w:t>业务适配分支的原因</w:t>
            </w:r>
          </w:p>
        </w:tc>
        <w:tc>
          <w:tcPr>
            <w:tcW w:w="7488" w:type="dxa"/>
            <w:shd w:val="clear" w:color="auto" w:fill="F1F5F8"/>
            <w:vAlign w:val="center"/>
          </w:tcPr>
          <w:p w14:paraId="711C5420">
            <w:pPr>
              <w:spacing w:before="40" w:after="40" w:line="280" w:lineRule="exact"/>
            </w:pPr>
            <w:r>
              <w:rPr>
                <w:rFonts w:ascii="Arial Unicode MS" w:hAnsi="Arial Unicode MS" w:eastAsia="Arial Unicode MS"/>
                <w:b w:val="0"/>
                <w:color w:val="000000"/>
                <w:sz w:val="20"/>
              </w:rPr>
              <w:t>取消等生命周期、测试数据使用链及线下规则未被完整纳入交付边界，业务变化容易牵动多个局部程序。</w:t>
            </w:r>
          </w:p>
        </w:tc>
      </w:tr>
      <w:tr w14:paraId="6933B2AD">
        <w:trPr>
          <w:cantSplit/>
          <w:jc w:val="center"/>
        </w:trPr>
        <w:tc>
          <w:tcPr>
            <w:tcW w:w="2592" w:type="dxa"/>
            <w:vAlign w:val="center"/>
          </w:tcPr>
          <w:p w14:paraId="4F7DE0DB">
            <w:pPr>
              <w:spacing w:before="40" w:after="40" w:line="280" w:lineRule="exact"/>
            </w:pPr>
            <w:r>
              <w:rPr>
                <w:rFonts w:ascii="Arial Unicode MS" w:hAnsi="Arial Unicode MS" w:eastAsia="Arial Unicode MS"/>
                <w:b w:val="0"/>
                <w:color w:val="000000"/>
                <w:sz w:val="20"/>
              </w:rPr>
              <w:t>维护承接分支的原因</w:t>
            </w:r>
          </w:p>
        </w:tc>
        <w:tc>
          <w:tcPr>
            <w:tcW w:w="7488" w:type="dxa"/>
            <w:vAlign w:val="center"/>
          </w:tcPr>
          <w:p w14:paraId="164F4CCB">
            <w:pPr>
              <w:spacing w:before="40" w:after="40" w:line="280" w:lineRule="exact"/>
            </w:pPr>
            <w:r>
              <w:rPr>
                <w:rFonts w:ascii="Arial Unicode MS" w:hAnsi="Arial Unicode MS" w:eastAsia="Arial Unicode MS"/>
                <w:b w:val="0"/>
                <w:color w:val="000000"/>
                <w:sz w:val="20"/>
              </w:rPr>
              <w:t>接口、配置、版本和历史问题知识分散，后续维护缺少统一可复用上下文。</w:t>
            </w:r>
          </w:p>
        </w:tc>
      </w:tr>
      <w:tr w14:paraId="5577B563">
        <w:trPr>
          <w:cantSplit/>
          <w:jc w:val="center"/>
        </w:trPr>
        <w:tc>
          <w:tcPr>
            <w:tcW w:w="2592" w:type="dxa"/>
            <w:shd w:val="clear" w:color="auto" w:fill="F1F5F8"/>
            <w:vAlign w:val="center"/>
          </w:tcPr>
          <w:p w14:paraId="0A200EBB">
            <w:pPr>
              <w:spacing w:before="40" w:after="40" w:line="280" w:lineRule="exact"/>
            </w:pPr>
            <w:r>
              <w:rPr>
                <w:rFonts w:ascii="Arial Unicode MS" w:hAnsi="Arial Unicode MS" w:eastAsia="Arial Unicode MS"/>
                <w:b w:val="0"/>
                <w:color w:val="000000"/>
                <w:sz w:val="20"/>
              </w:rPr>
              <w:t>为何局部自动化不能持续产生价值</w:t>
            </w:r>
          </w:p>
        </w:tc>
        <w:tc>
          <w:tcPr>
            <w:tcW w:w="7488" w:type="dxa"/>
            <w:shd w:val="clear" w:color="auto" w:fill="F1F5F8"/>
            <w:vAlign w:val="center"/>
          </w:tcPr>
          <w:p w14:paraId="365D351D">
            <w:pPr>
              <w:spacing w:before="40" w:after="40" w:line="280" w:lineRule="exact"/>
            </w:pPr>
            <w:r>
              <w:rPr>
                <w:rFonts w:ascii="Arial Unicode MS" w:hAnsi="Arial Unicode MS" w:eastAsia="Arial Unicode MS"/>
                <w:b w:val="0"/>
                <w:color w:val="000000"/>
                <w:sz w:val="20"/>
              </w:rPr>
              <w:t>报表与原数据源耦合，平台切换后输入和维护责任未同步承接；统一标识、算法及数据源交接是持续使用的必要条件。</w:t>
            </w:r>
          </w:p>
        </w:tc>
      </w:tr>
      <w:tr w14:paraId="66BE529D">
        <w:trPr>
          <w:cantSplit/>
          <w:jc w:val="center"/>
        </w:trPr>
        <w:tc>
          <w:tcPr>
            <w:tcW w:w="2592" w:type="dxa"/>
            <w:vAlign w:val="center"/>
          </w:tcPr>
          <w:p w14:paraId="1AAC95E4">
            <w:pPr>
              <w:spacing w:before="40" w:after="40" w:line="280" w:lineRule="exact"/>
            </w:pPr>
            <w:r>
              <w:rPr>
                <w:rFonts w:ascii="Arial Unicode MS" w:hAnsi="Arial Unicode MS" w:eastAsia="Arial Unicode MS"/>
                <w:b w:val="0"/>
                <w:color w:val="000000"/>
                <w:sz w:val="20"/>
              </w:rPr>
              <w:t>关键制约与改善落点</w:t>
            </w:r>
          </w:p>
        </w:tc>
        <w:tc>
          <w:tcPr>
            <w:tcW w:w="7488" w:type="dxa"/>
            <w:vAlign w:val="center"/>
          </w:tcPr>
          <w:p w14:paraId="501D7CEB">
            <w:pPr>
              <w:spacing w:before="40" w:after="40" w:line="280" w:lineRule="exact"/>
            </w:pPr>
            <w:r>
              <w:rPr>
                <w:rFonts w:ascii="Arial Unicode MS" w:hAnsi="Arial Unicode MS" w:eastAsia="Arial Unicode MS"/>
                <w:b w:val="0"/>
                <w:color w:val="000000"/>
                <w:sz w:val="20"/>
              </w:rPr>
              <w:t>业务完整性和持续可维护性应共同成为交付条件，按真实正常与异常脚本验证，并完整交接接口、配置、运维与退出资料。</w:t>
            </w:r>
          </w:p>
        </w:tc>
      </w:tr>
    </w:tbl>
    <w:p w14:paraId="2F416C83">
      <w:pPr>
        <w:spacing w:before="20" w:after="20" w:line="120" w:lineRule="auto"/>
      </w:pPr>
    </w:p>
    <w:p w14:paraId="46414246">
      <w:r>
        <w:rPr>
          <w:rFonts w:ascii="Arial Unicode MS" w:hAnsi="Arial Unicode MS" w:eastAsia="Arial Unicode MS"/>
          <w:color w:val="000000"/>
        </w:rPr>
        <w:t>分析结论 业务适配、维护承接和数据使用连续性应共同纳入交付。历史使用反馈须与当前复测结论区分，性能瓶颈按负载测试定位；报表及自动化应明确数据源和维护责任，防止基础平台切换后失效。</w:t>
      </w:r>
    </w:p>
    <w:p w14:paraId="1B9D0A04">
      <w:r>
        <w:rPr>
          <w:rFonts w:ascii="Arial Unicode MS" w:hAnsi="Arial Unicode MS" w:eastAsia="Arial Unicode MS"/>
          <w:color w:val="000000"/>
        </w:rPr>
        <w:t>管理改善 按真实业务脚本确认范围和系统边界；落实接口、发布、服务和数据责任，完整交接配置、接口、问题和运行文档，在合同中明确迁移、导出与退出交付。</w:t>
      </w:r>
    </w:p>
    <w:p w14:paraId="0F9D90EC">
      <w:r>
        <w:rPr>
          <w:rFonts w:ascii="Arial Unicode MS" w:hAnsi="Arial Unicode MS" w:eastAsia="Arial Unicode MS"/>
          <w:color w:val="000000"/>
        </w:rPr>
        <w:t>系统改善 验证新增、变更、取消、重发与失败补偿，按实际任务组合和持续操作负载测试性能；建立日志、监控和恢复能力，以在制、身份、历史及附件验证切换连续性。报表接口、算法及授权导出同时交接，先行改善亦采用可复用对象与受控数据源。</w:t>
      </w:r>
    </w:p>
    <w:p w14:paraId="159F2FB6">
      <w:r>
        <w:rPr>
          <w:rFonts w:ascii="Arial Unicode MS" w:hAnsi="Arial Unicode MS" w:eastAsia="Arial Unicode MS"/>
          <w:color w:val="000000"/>
        </w:rPr>
        <w:t>优先级 P0。相关需求 N01至N14</w:t>
      </w:r>
    </w:p>
    <w:p w14:paraId="49C1A574">
      <w:pPr>
        <w:sectPr>
          <w:headerReference r:id="rId5" w:type="default"/>
          <w:footerReference r:id="rId6" w:type="default"/>
          <w:pgSz w:w="12240" w:h="15840"/>
          <w:pgMar w:top="936" w:right="1008" w:bottom="936" w:left="1008" w:header="432" w:footer="432" w:gutter="0"/>
          <w:cols w:space="720" w:num="1"/>
          <w:docGrid w:linePitch="360" w:charSpace="0"/>
        </w:sectPr>
      </w:pPr>
    </w:p>
    <w:p w14:paraId="065FC8DB">
      <w:pPr>
        <w:pStyle w:val="4"/>
        <w:pageBreakBefore w:val="0"/>
        <w:rPr>
          <w:rFonts w:ascii="Arial Unicode MS" w:hAnsi="Arial Unicode MS" w:eastAsia="Arial Unicode MS"/>
          <w:b/>
          <w:color w:val="000000"/>
        </w:rPr>
      </w:pPr>
      <w:bookmarkStart w:id="15" w:name="requirements"/>
      <w:bookmarkEnd w:id="15"/>
      <w:r>
        <w:rPr>
          <w:rFonts w:ascii="Arial Unicode MS" w:hAnsi="Arial Unicode MS" w:eastAsia="Arial Unicode MS"/>
          <w:color w:val="000000"/>
        </w:rPr>
        <w:t>MES功能与非功能需求</w:t>
      </w:r>
    </w:p>
    <w:p w14:paraId="7A1C8505">
      <w:r>
        <w:rPr>
          <w:rFonts w:ascii="Arial Unicode MS" w:hAnsi="Arial Unicode MS" w:eastAsia="Arial Unicode MS"/>
          <w:color w:val="000000"/>
        </w:rPr>
        <w:t>需求按制造运营活动和现场执行边界组织。基础制造数据与资源准备为执行提供依据，生产、厂内物料、库存交接、质量追溯及维护形成业务闭环，设备采集和制造分析提供数据支撑。功能要求与平台非功能要求分别列示。ERP继续承担经营计划、采购委外和库存账务，工程系统承担产品定义及批准发布；MES消费已批准的制造依据、任务及约束，反馈实际执行、用料、质量和交接事件。</w:t>
      </w:r>
    </w:p>
    <w:p w14:paraId="1DC0CFDD">
      <w:r>
        <w:rPr>
          <w:rFonts w:ascii="Arial Unicode MS" w:hAnsi="Arial Unicode MS" w:eastAsia="Arial Unicode MS"/>
          <w:color w:val="000000"/>
        </w:rPr>
        <w:t>依据ISA-95及IEC 62264的制造运营活动与信息交接逻辑，结合实际业务裁剪为九类功能模块，另列平台非功能要求。P0为试点闭环及连续运行基础，P1为后续管理深化或范围扩展，P2为条件成熟后的优化；分类不限定软件产品的采购模块划分。</w:t>
      </w:r>
    </w:p>
    <w:p w14:paraId="21C7586C">
      <w:pPr>
        <w:pStyle w:val="5"/>
      </w:pPr>
      <w:r>
        <w:rPr>
          <w:rFonts w:ascii="Arial Unicode MS" w:hAnsi="Arial Unicode MS" w:eastAsia="Arial Unicode MS"/>
          <w:color w:val="000000"/>
        </w:rPr>
        <w:t>M01 基础制造数据与生产准备</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00C3F1DC">
        <w:trPr>
          <w:cantSplit/>
          <w:tblHeader/>
          <w:jc w:val="center"/>
        </w:trPr>
        <w:tc>
          <w:tcPr>
            <w:tcW w:w="1656" w:type="dxa"/>
            <w:shd w:val="clear" w:color="auto" w:fill="234A68"/>
            <w:vAlign w:val="center"/>
          </w:tcPr>
          <w:p w14:paraId="38F3BE8E">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7FB280CA">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63F19439">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313F1B4B">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31551692">
            <w:pPr>
              <w:keepNext/>
              <w:spacing w:before="40" w:after="40" w:line="280" w:lineRule="exact"/>
              <w:jc w:val="center"/>
            </w:pPr>
            <w:r>
              <w:rPr>
                <w:rFonts w:ascii="Arial Unicode MS" w:hAnsi="Arial Unicode MS" w:eastAsia="Arial Unicode MS"/>
                <w:b/>
                <w:color w:val="FFFFFF"/>
                <w:sz w:val="19"/>
              </w:rPr>
              <w:t>优先级与依据</w:t>
            </w:r>
          </w:p>
        </w:tc>
      </w:tr>
      <w:tr w14:paraId="2D944217">
        <w:trPr>
          <w:cantSplit/>
          <w:jc w:val="center"/>
        </w:trPr>
        <w:tc>
          <w:tcPr>
            <w:tcW w:w="1656" w:type="dxa"/>
            <w:vAlign w:val="center"/>
          </w:tcPr>
          <w:p w14:paraId="16C15620">
            <w:pPr>
              <w:spacing w:before="40" w:after="40" w:line="280" w:lineRule="exact"/>
            </w:pPr>
            <w:r>
              <w:rPr>
                <w:rFonts w:ascii="Arial Unicode MS" w:hAnsi="Arial Unicode MS" w:eastAsia="Arial Unicode MS"/>
                <w:b w:val="0"/>
                <w:color w:val="000000"/>
                <w:sz w:val="19"/>
              </w:rPr>
              <w:t>F02</w:t>
            </w:r>
            <w:r>
              <w:br w:type="textWrapping"/>
            </w:r>
            <w:r>
              <w:rPr>
                <w:rFonts w:ascii="Arial Unicode MS" w:hAnsi="Arial Unicode MS" w:eastAsia="Arial Unicode MS"/>
                <w:b w:val="0"/>
                <w:color w:val="000000"/>
                <w:sz w:val="19"/>
              </w:rPr>
              <w:t>产品族、型号与制造配置</w:t>
            </w:r>
          </w:p>
        </w:tc>
        <w:tc>
          <w:tcPr>
            <w:tcW w:w="3816" w:type="dxa"/>
            <w:vAlign w:val="center"/>
          </w:tcPr>
          <w:p w14:paraId="29E43E94">
            <w:pPr>
              <w:spacing w:before="40" w:after="40" w:line="280" w:lineRule="exact"/>
            </w:pPr>
            <w:r>
              <w:rPr>
                <w:rFonts w:ascii="Arial Unicode MS" w:hAnsi="Arial Unicode MS" w:eastAsia="Arial Unicode MS"/>
                <w:b w:val="0"/>
                <w:color w:val="000000"/>
                <w:sz w:val="19"/>
              </w:rPr>
              <w:t>准备 区分产品族、型号、物料、硬件/模组版本及制造/包装配置，引用权威编码。</w:t>
            </w:r>
            <w:r>
              <w:br w:type="textWrapping"/>
            </w:r>
            <w:r>
              <w:rPr>
                <w:rFonts w:ascii="Arial Unicode MS" w:hAnsi="Arial Unicode MS" w:eastAsia="Arial Unicode MS"/>
                <w:b w:val="0"/>
                <w:color w:val="000000"/>
                <w:sz w:val="19"/>
              </w:rPr>
              <w:t>正常 任务和SN关联适用配置，支持新增型号与已批准配置。</w:t>
            </w:r>
          </w:p>
        </w:tc>
        <w:tc>
          <w:tcPr>
            <w:tcW w:w="3384" w:type="dxa"/>
            <w:vAlign w:val="center"/>
          </w:tcPr>
          <w:p w14:paraId="28E94E4A">
            <w:pPr>
              <w:spacing w:before="40" w:after="40" w:line="280" w:lineRule="exact"/>
            </w:pPr>
            <w:r>
              <w:rPr>
                <w:rFonts w:ascii="Arial Unicode MS" w:hAnsi="Arial Unicode MS" w:eastAsia="Arial Unicode MS"/>
                <w:b w:val="0"/>
                <w:color w:val="000000"/>
                <w:sz w:val="19"/>
              </w:rPr>
              <w:t>配置不完整或停用时提示并按批准规则处理，不改变历史产品实际配置。</w:t>
            </w:r>
          </w:p>
        </w:tc>
        <w:tc>
          <w:tcPr>
            <w:tcW w:w="3528" w:type="dxa"/>
            <w:vAlign w:val="center"/>
          </w:tcPr>
          <w:p w14:paraId="34C6C962">
            <w:pPr>
              <w:spacing w:before="40" w:after="40" w:line="280" w:lineRule="exact"/>
            </w:pPr>
            <w:r>
              <w:rPr>
                <w:rFonts w:ascii="Arial Unicode MS" w:hAnsi="Arial Unicode MS" w:eastAsia="Arial Unicode MS"/>
                <w:b w:val="0"/>
                <w:color w:val="000000"/>
                <w:sz w:val="19"/>
              </w:rPr>
              <w:t>产品设计、商业选配及定价仍在工程/ERP职责内。</w:t>
            </w:r>
          </w:p>
        </w:tc>
        <w:tc>
          <w:tcPr>
            <w:tcW w:w="1440" w:type="dxa"/>
            <w:vAlign w:val="center"/>
          </w:tcPr>
          <w:p w14:paraId="1E29BF50">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专家建议</w:t>
            </w:r>
          </w:p>
        </w:tc>
      </w:tr>
      <w:tr w14:paraId="17AD2FA5">
        <w:trPr>
          <w:cantSplit/>
          <w:jc w:val="center"/>
        </w:trPr>
        <w:tc>
          <w:tcPr>
            <w:tcW w:w="1656" w:type="dxa"/>
            <w:shd w:val="clear" w:color="auto" w:fill="F1F5F8"/>
            <w:vAlign w:val="center"/>
          </w:tcPr>
          <w:p w14:paraId="699299F1">
            <w:pPr>
              <w:spacing w:before="40" w:after="40" w:line="280" w:lineRule="exact"/>
            </w:pPr>
            <w:r>
              <w:rPr>
                <w:rFonts w:ascii="Arial Unicode MS" w:hAnsi="Arial Unicode MS" w:eastAsia="Arial Unicode MS"/>
                <w:b w:val="0"/>
                <w:color w:val="000000"/>
                <w:sz w:val="19"/>
              </w:rPr>
              <w:t>F03</w:t>
            </w:r>
            <w:r>
              <w:br w:type="textWrapping"/>
            </w:r>
            <w:r>
              <w:rPr>
                <w:rFonts w:ascii="Arial Unicode MS" w:hAnsi="Arial Unicode MS" w:eastAsia="Arial Unicode MS"/>
                <w:b w:val="0"/>
                <w:color w:val="000000"/>
                <w:sz w:val="19"/>
              </w:rPr>
              <w:t>工序路线与生产模式配置</w:t>
            </w:r>
          </w:p>
        </w:tc>
        <w:tc>
          <w:tcPr>
            <w:tcW w:w="3816" w:type="dxa"/>
            <w:shd w:val="clear" w:color="auto" w:fill="F1F5F8"/>
            <w:vAlign w:val="center"/>
          </w:tcPr>
          <w:p w14:paraId="06E78D74">
            <w:pPr>
              <w:spacing w:before="40" w:after="40" w:line="280" w:lineRule="exact"/>
            </w:pPr>
            <w:r>
              <w:rPr>
                <w:rFonts w:ascii="Arial Unicode MS" w:hAnsi="Arial Unicode MS" w:eastAsia="Arial Unicode MS"/>
                <w:b w:val="0"/>
                <w:color w:val="000000"/>
                <w:sz w:val="19"/>
              </w:rPr>
              <w:t>准备 定义适用工序、资源、关键前置、允许并行/接续及必要等待，区分工单、载具与单件。正常 按工厂和产品执行批准路线，批量作业与单件履历共存。</w:t>
            </w:r>
          </w:p>
        </w:tc>
        <w:tc>
          <w:tcPr>
            <w:tcW w:w="3384" w:type="dxa"/>
            <w:shd w:val="clear" w:color="auto" w:fill="F1F5F8"/>
            <w:vAlign w:val="center"/>
          </w:tcPr>
          <w:p w14:paraId="5D506A5F">
            <w:pPr>
              <w:spacing w:before="40" w:after="40" w:line="280" w:lineRule="exact"/>
            </w:pPr>
            <w:r>
              <w:rPr>
                <w:rFonts w:ascii="Arial Unicode MS" w:hAnsi="Arial Unicode MS" w:eastAsia="Arial Unicode MS"/>
                <w:b w:val="0"/>
                <w:color w:val="000000"/>
                <w:sz w:val="19"/>
              </w:rPr>
              <w:t>在批准弹性内换序、跨线记录实际路径；超出规则按授权偏离，不覆盖历史。</w:t>
            </w:r>
          </w:p>
        </w:tc>
        <w:tc>
          <w:tcPr>
            <w:tcW w:w="3528" w:type="dxa"/>
            <w:shd w:val="clear" w:color="auto" w:fill="F1F5F8"/>
            <w:vAlign w:val="center"/>
          </w:tcPr>
          <w:p w14:paraId="7AA39EEE">
            <w:pPr>
              <w:spacing w:before="40" w:after="40" w:line="280" w:lineRule="exact"/>
            </w:pPr>
            <w:r>
              <w:rPr>
                <w:rFonts w:ascii="Arial Unicode MS" w:hAnsi="Arial Unicode MS" w:eastAsia="Arial Unicode MS"/>
                <w:b w:val="0"/>
                <w:color w:val="000000"/>
                <w:sz w:val="19"/>
              </w:rPr>
              <w:t>不强制所有小车固定给人或逐车顺序；工艺等待采用批准条件，不把访谈时长写成全型号定额。</w:t>
            </w:r>
          </w:p>
        </w:tc>
        <w:tc>
          <w:tcPr>
            <w:tcW w:w="1440" w:type="dxa"/>
            <w:shd w:val="clear" w:color="auto" w:fill="F1F5F8"/>
            <w:vAlign w:val="center"/>
          </w:tcPr>
          <w:p w14:paraId="15E16DB1">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专家建议</w:t>
            </w:r>
          </w:p>
        </w:tc>
      </w:tr>
      <w:tr w14:paraId="53346F61">
        <w:trPr>
          <w:cantSplit/>
          <w:jc w:val="center"/>
        </w:trPr>
        <w:tc>
          <w:tcPr>
            <w:tcW w:w="1656" w:type="dxa"/>
            <w:vAlign w:val="center"/>
          </w:tcPr>
          <w:p w14:paraId="17A80C8A">
            <w:pPr>
              <w:spacing w:before="40" w:after="40" w:line="280" w:lineRule="exact"/>
            </w:pPr>
            <w:r>
              <w:rPr>
                <w:rFonts w:ascii="Arial Unicode MS" w:hAnsi="Arial Unicode MS" w:eastAsia="Arial Unicode MS"/>
                <w:b w:val="0"/>
                <w:color w:val="000000"/>
                <w:sz w:val="19"/>
              </w:rPr>
              <w:t>F13</w:t>
            </w:r>
            <w:r>
              <w:br w:type="textWrapping"/>
            </w:r>
            <w:r>
              <w:rPr>
                <w:rFonts w:ascii="Arial Unicode MS" w:hAnsi="Arial Unicode MS" w:eastAsia="Arial Unicode MS"/>
                <w:b w:val="0"/>
                <w:color w:val="000000"/>
                <w:sz w:val="19"/>
              </w:rPr>
              <w:t>物料及计量主数据接收</w:t>
            </w:r>
          </w:p>
        </w:tc>
        <w:tc>
          <w:tcPr>
            <w:tcW w:w="3816" w:type="dxa"/>
            <w:vAlign w:val="center"/>
          </w:tcPr>
          <w:p w14:paraId="5CAEE5EE">
            <w:pPr>
              <w:spacing w:before="40" w:after="40" w:line="280" w:lineRule="exact"/>
            </w:pPr>
            <w:r>
              <w:rPr>
                <w:rFonts w:ascii="Arial Unicode MS" w:hAnsi="Arial Unicode MS" w:eastAsia="Arial Unicode MS"/>
                <w:b w:val="0"/>
                <w:color w:val="000000"/>
                <w:sz w:val="19"/>
              </w:rPr>
              <w:t>准备 明确PLM/ERP物料、分类、单位及换算权威源和维护职责。</w:t>
            </w:r>
            <w:r>
              <w:br w:type="textWrapping"/>
            </w:r>
            <w:r>
              <w:rPr>
                <w:rFonts w:ascii="Arial Unicode MS" w:hAnsi="Arial Unicode MS" w:eastAsia="Arial Unicode MS"/>
                <w:b w:val="0"/>
                <w:color w:val="000000"/>
                <w:sz w:val="19"/>
              </w:rPr>
              <w:t>正常 MES引用有效料号/单位及批准换算，保持主数据变更可追踪。</w:t>
            </w:r>
          </w:p>
        </w:tc>
        <w:tc>
          <w:tcPr>
            <w:tcW w:w="3384" w:type="dxa"/>
            <w:vAlign w:val="center"/>
          </w:tcPr>
          <w:p w14:paraId="39623ACD">
            <w:pPr>
              <w:spacing w:before="40" w:after="40" w:line="280" w:lineRule="exact"/>
            </w:pPr>
            <w:r>
              <w:rPr>
                <w:rFonts w:ascii="Arial Unicode MS" w:hAnsi="Arial Unicode MS" w:eastAsia="Arial Unicode MS"/>
                <w:b w:val="0"/>
                <w:color w:val="000000"/>
                <w:sz w:val="19"/>
              </w:rPr>
              <w:t>同步失败、重复编码、非法换算和停用料受控，历史事件保留原单位及换算依据。</w:t>
            </w:r>
          </w:p>
        </w:tc>
        <w:tc>
          <w:tcPr>
            <w:tcW w:w="3528" w:type="dxa"/>
            <w:vAlign w:val="center"/>
          </w:tcPr>
          <w:p w14:paraId="46D41B99">
            <w:pPr>
              <w:spacing w:before="40" w:after="40" w:line="280" w:lineRule="exact"/>
            </w:pPr>
            <w:r>
              <w:rPr>
                <w:rFonts w:ascii="Arial Unicode MS" w:hAnsi="Arial Unicode MS" w:eastAsia="Arial Unicode MS"/>
                <w:b w:val="0"/>
                <w:color w:val="000000"/>
                <w:sz w:val="19"/>
              </w:rPr>
              <w:t>不另建与ERP冲突的物料编码权威源。</w:t>
            </w:r>
          </w:p>
        </w:tc>
        <w:tc>
          <w:tcPr>
            <w:tcW w:w="1440" w:type="dxa"/>
            <w:vAlign w:val="center"/>
          </w:tcPr>
          <w:p w14:paraId="0BD4021B">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专家建议</w:t>
            </w:r>
          </w:p>
        </w:tc>
      </w:tr>
      <w:tr w14:paraId="38331771">
        <w:trPr>
          <w:cantSplit/>
          <w:jc w:val="center"/>
        </w:trPr>
        <w:tc>
          <w:tcPr>
            <w:tcW w:w="1656" w:type="dxa"/>
            <w:shd w:val="clear" w:color="auto" w:fill="F1F5F8"/>
            <w:vAlign w:val="center"/>
          </w:tcPr>
          <w:p w14:paraId="734C5857">
            <w:pPr>
              <w:spacing w:before="40" w:after="40" w:line="280" w:lineRule="exact"/>
            </w:pPr>
            <w:r>
              <w:rPr>
                <w:rFonts w:ascii="Arial Unicode MS" w:hAnsi="Arial Unicode MS" w:eastAsia="Arial Unicode MS"/>
                <w:b w:val="0"/>
                <w:color w:val="000000"/>
                <w:sz w:val="19"/>
              </w:rPr>
              <w:t>F14</w:t>
            </w:r>
            <w:r>
              <w:br w:type="textWrapping"/>
            </w:r>
            <w:r>
              <w:rPr>
                <w:rFonts w:ascii="Arial Unicode MS" w:hAnsi="Arial Unicode MS" w:eastAsia="Arial Unicode MS"/>
                <w:b w:val="0"/>
                <w:color w:val="000000"/>
                <w:sz w:val="19"/>
              </w:rPr>
              <w:t>制造BOM与工序用料视图</w:t>
            </w:r>
          </w:p>
        </w:tc>
        <w:tc>
          <w:tcPr>
            <w:tcW w:w="3816" w:type="dxa"/>
            <w:shd w:val="clear" w:color="auto" w:fill="F1F5F8"/>
            <w:vAlign w:val="center"/>
          </w:tcPr>
          <w:p w14:paraId="4E81E1DB">
            <w:pPr>
              <w:spacing w:before="40" w:after="40" w:line="280" w:lineRule="exact"/>
            </w:pPr>
            <w:r>
              <w:rPr>
                <w:rFonts w:ascii="Arial Unicode MS" w:hAnsi="Arial Unicode MS" w:eastAsia="Arial Unicode MS"/>
                <w:b w:val="0"/>
                <w:color w:val="000000"/>
                <w:sz w:val="19"/>
              </w:rPr>
              <w:t>准备 承接批准的制造用料视图，建立工序分配、安装位置、适用替代关系和关键参数关联。</w:t>
            </w:r>
            <w:r>
              <w:br w:type="textWrapping"/>
            </w:r>
            <w:r>
              <w:rPr>
                <w:rFonts w:ascii="Arial Unicode MS" w:hAnsi="Arial Unicode MS" w:eastAsia="Arial Unicode MS"/>
                <w:b w:val="0"/>
                <w:color w:val="000000"/>
                <w:sz w:val="19"/>
              </w:rPr>
              <w:t>正常 现场按适用视图领用、安装并记录实际使用；SOP可关联对应位置和扭力。</w:t>
            </w:r>
          </w:p>
        </w:tc>
        <w:tc>
          <w:tcPr>
            <w:tcW w:w="3384" w:type="dxa"/>
            <w:shd w:val="clear" w:color="auto" w:fill="F1F5F8"/>
            <w:vAlign w:val="center"/>
          </w:tcPr>
          <w:p w14:paraId="3A607ED4">
            <w:pPr>
              <w:spacing w:before="40" w:after="40" w:line="280" w:lineRule="exact"/>
            </w:pPr>
            <w:r>
              <w:rPr>
                <w:rFonts w:ascii="Arial Unicode MS" w:hAnsi="Arial Unicode MS" w:eastAsia="Arial Unicode MS"/>
                <w:b w:val="0"/>
                <w:color w:val="000000"/>
                <w:sz w:val="19"/>
              </w:rPr>
              <w:t>缺项、越权替代及版本不适用时提示/限制并保留批准偏离。</w:t>
            </w:r>
          </w:p>
        </w:tc>
        <w:tc>
          <w:tcPr>
            <w:tcW w:w="3528" w:type="dxa"/>
            <w:shd w:val="clear" w:color="auto" w:fill="F1F5F8"/>
            <w:vAlign w:val="center"/>
          </w:tcPr>
          <w:p w14:paraId="03FCF44A">
            <w:pPr>
              <w:spacing w:before="40" w:after="40" w:line="280" w:lineRule="exact"/>
            </w:pPr>
            <w:r>
              <w:rPr>
                <w:rFonts w:ascii="Arial Unicode MS" w:hAnsi="Arial Unicode MS" w:eastAsia="Arial Unicode MS"/>
                <w:b w:val="0"/>
                <w:color w:val="000000"/>
                <w:sz w:val="19"/>
              </w:rPr>
              <w:t>产品设计和工程批准保持原有权威源，MES引用制造用料及工序适用关系。</w:t>
            </w:r>
          </w:p>
        </w:tc>
        <w:tc>
          <w:tcPr>
            <w:tcW w:w="1440" w:type="dxa"/>
            <w:shd w:val="clear" w:color="auto" w:fill="F1F5F8"/>
            <w:vAlign w:val="center"/>
          </w:tcPr>
          <w:p w14:paraId="263D7B19">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访谈及专业建议</w:t>
            </w:r>
          </w:p>
        </w:tc>
      </w:tr>
      <w:tr w14:paraId="29DC2894">
        <w:trPr>
          <w:cantSplit/>
          <w:jc w:val="center"/>
        </w:trPr>
        <w:tc>
          <w:tcPr>
            <w:tcW w:w="1656" w:type="dxa"/>
            <w:vAlign w:val="center"/>
          </w:tcPr>
          <w:p w14:paraId="00DA5FAA">
            <w:pPr>
              <w:spacing w:before="40" w:after="40" w:line="280" w:lineRule="exact"/>
            </w:pPr>
            <w:r>
              <w:rPr>
                <w:rFonts w:ascii="Arial Unicode MS" w:hAnsi="Arial Unicode MS" w:eastAsia="Arial Unicode MS"/>
                <w:b w:val="0"/>
                <w:color w:val="000000"/>
                <w:sz w:val="19"/>
              </w:rPr>
              <w:t>F15</w:t>
            </w:r>
            <w:r>
              <w:br w:type="textWrapping"/>
            </w:r>
            <w:r>
              <w:rPr>
                <w:rFonts w:ascii="Arial Unicode MS" w:hAnsi="Arial Unicode MS" w:eastAsia="Arial Unicode MS"/>
                <w:b w:val="0"/>
                <w:color w:val="000000"/>
                <w:sz w:val="19"/>
              </w:rPr>
              <w:t>工程交付与首产准备</w:t>
            </w:r>
          </w:p>
        </w:tc>
        <w:tc>
          <w:tcPr>
            <w:tcW w:w="3816" w:type="dxa"/>
            <w:vAlign w:val="center"/>
          </w:tcPr>
          <w:p w14:paraId="3F2E7288">
            <w:pPr>
              <w:spacing w:before="40" w:after="40" w:line="280" w:lineRule="exact"/>
            </w:pPr>
            <w:r>
              <w:rPr>
                <w:rFonts w:ascii="Arial Unicode MS" w:hAnsi="Arial Unicode MS" w:eastAsia="Arial Unicode MS"/>
                <w:b w:val="0"/>
                <w:color w:val="000000"/>
                <w:sz w:val="19"/>
              </w:rPr>
              <w:t>准备 建立最小生产交付包，检查BOM、SOP、工装、参数、软件和必要检验/出货资料。</w:t>
            </w:r>
            <w:r>
              <w:br w:type="textWrapping"/>
            </w:r>
            <w:r>
              <w:rPr>
                <w:rFonts w:ascii="Arial Unicode MS" w:hAnsi="Arial Unicode MS" w:eastAsia="Arial Unicode MS"/>
                <w:b w:val="0"/>
                <w:color w:val="000000"/>
                <w:sz w:val="19"/>
              </w:rPr>
              <w:t>正常 首产任务显示关注标记并提前通知工程岗位，记录资料实际使用依据。</w:t>
            </w:r>
          </w:p>
        </w:tc>
        <w:tc>
          <w:tcPr>
            <w:tcW w:w="3384" w:type="dxa"/>
            <w:vAlign w:val="center"/>
          </w:tcPr>
          <w:p w14:paraId="6998FE9F">
            <w:pPr>
              <w:spacing w:before="40" w:after="40" w:line="280" w:lineRule="exact"/>
            </w:pPr>
            <w:r>
              <w:rPr>
                <w:rFonts w:ascii="Arial Unicode MS" w:hAnsi="Arial Unicode MS" w:eastAsia="Arial Unicode MS"/>
                <w:b w:val="0"/>
                <w:color w:val="000000"/>
                <w:sz w:val="19"/>
              </w:rPr>
              <w:t>资料缺项通过授权偏离和风险控制处理；正式出货必要标准和记录不能省略。</w:t>
            </w:r>
          </w:p>
        </w:tc>
        <w:tc>
          <w:tcPr>
            <w:tcW w:w="3528" w:type="dxa"/>
            <w:vAlign w:val="center"/>
          </w:tcPr>
          <w:p w14:paraId="1D6ABFCC">
            <w:pPr>
              <w:spacing w:before="40" w:after="40" w:line="280" w:lineRule="exact"/>
            </w:pPr>
            <w:r>
              <w:rPr>
                <w:rFonts w:ascii="Arial Unicode MS" w:hAnsi="Arial Unicode MS" w:eastAsia="Arial Unicode MS"/>
                <w:b w:val="0"/>
                <w:color w:val="000000"/>
                <w:sz w:val="19"/>
              </w:rPr>
              <w:t>不把研发内部试验纳入现厂生产范围，也不为每道工序增加独立试产审批。</w:t>
            </w:r>
          </w:p>
        </w:tc>
        <w:tc>
          <w:tcPr>
            <w:tcW w:w="1440" w:type="dxa"/>
            <w:vAlign w:val="center"/>
          </w:tcPr>
          <w:p w14:paraId="4E389DAE">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明确需求</w:t>
            </w:r>
          </w:p>
        </w:tc>
      </w:tr>
      <w:tr w14:paraId="7226055A">
        <w:trPr>
          <w:cantSplit/>
          <w:jc w:val="center"/>
        </w:trPr>
        <w:tc>
          <w:tcPr>
            <w:tcW w:w="1656" w:type="dxa"/>
            <w:shd w:val="clear" w:color="auto" w:fill="F1F5F8"/>
            <w:vAlign w:val="center"/>
          </w:tcPr>
          <w:p w14:paraId="12038DE0">
            <w:pPr>
              <w:spacing w:before="40" w:after="40" w:line="280" w:lineRule="exact"/>
            </w:pPr>
            <w:r>
              <w:rPr>
                <w:rFonts w:ascii="Arial Unicode MS" w:hAnsi="Arial Unicode MS" w:eastAsia="Arial Unicode MS"/>
                <w:b w:val="0"/>
                <w:color w:val="000000"/>
                <w:sz w:val="19"/>
              </w:rPr>
              <w:t>F16</w:t>
            </w:r>
            <w:r>
              <w:br w:type="textWrapping"/>
            </w:r>
            <w:r>
              <w:rPr>
                <w:rFonts w:ascii="Arial Unicode MS" w:hAnsi="Arial Unicode MS" w:eastAsia="Arial Unicode MS"/>
                <w:b w:val="0"/>
                <w:color w:val="000000"/>
                <w:sz w:val="19"/>
              </w:rPr>
              <w:t>电子作业指导及对象关联</w:t>
            </w:r>
          </w:p>
        </w:tc>
        <w:tc>
          <w:tcPr>
            <w:tcW w:w="3816" w:type="dxa"/>
            <w:shd w:val="clear" w:color="auto" w:fill="F1F5F8"/>
            <w:vAlign w:val="center"/>
          </w:tcPr>
          <w:p w14:paraId="22FA21FB">
            <w:pPr>
              <w:spacing w:before="40" w:after="40" w:line="280" w:lineRule="exact"/>
            </w:pPr>
            <w:r>
              <w:rPr>
                <w:rFonts w:ascii="Arial Unicode MS" w:hAnsi="Arial Unicode MS" w:eastAsia="Arial Unicode MS"/>
                <w:b w:val="0"/>
                <w:color w:val="000000"/>
                <w:sz w:val="19"/>
              </w:rPr>
              <w:t>准备 衔接现有文控批准及纸档受控发放，维护电子SOP/图纸与型号、物料及资源适用关系。正常 工位便捷取得适用指导，记录关键依据。</w:t>
            </w:r>
          </w:p>
        </w:tc>
        <w:tc>
          <w:tcPr>
            <w:tcW w:w="3384" w:type="dxa"/>
            <w:shd w:val="clear" w:color="auto" w:fill="F1F5F8"/>
            <w:vAlign w:val="center"/>
          </w:tcPr>
          <w:p w14:paraId="0488CD35">
            <w:pPr>
              <w:spacing w:before="40" w:after="40" w:line="280" w:lineRule="exact"/>
            </w:pPr>
            <w:r>
              <w:rPr>
                <w:rFonts w:ascii="Arial Unicode MS" w:hAnsi="Arial Unicode MS" w:eastAsia="Arial Unicode MS"/>
                <w:b w:val="0"/>
                <w:color w:val="000000"/>
                <w:sz w:val="19"/>
              </w:rPr>
              <w:t>新旧并存、撤回、更版及未替换对象显式可查，历史仍按原依据还原。</w:t>
            </w:r>
          </w:p>
        </w:tc>
        <w:tc>
          <w:tcPr>
            <w:tcW w:w="3528" w:type="dxa"/>
            <w:shd w:val="clear" w:color="auto" w:fill="F1F5F8"/>
            <w:vAlign w:val="center"/>
          </w:tcPr>
          <w:p w14:paraId="4556A8A5">
            <w:pPr>
              <w:spacing w:before="40" w:after="40" w:line="280" w:lineRule="exact"/>
            </w:pPr>
            <w:r>
              <w:rPr>
                <w:rFonts w:ascii="Arial Unicode MS" w:hAnsi="Arial Unicode MS" w:eastAsia="Arial Unicode MS"/>
                <w:b w:val="0"/>
                <w:color w:val="000000"/>
                <w:sz w:val="19"/>
              </w:rPr>
              <w:t>文控发布及内容审批保留；纸电过渡按范围实施，不宣称现场已全面电子化。</w:t>
            </w:r>
          </w:p>
        </w:tc>
        <w:tc>
          <w:tcPr>
            <w:tcW w:w="1440" w:type="dxa"/>
            <w:shd w:val="clear" w:color="auto" w:fill="F1F5F8"/>
            <w:vAlign w:val="center"/>
          </w:tcPr>
          <w:p w14:paraId="3D35725E">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明确需求</w:t>
            </w:r>
          </w:p>
        </w:tc>
      </w:tr>
      <w:tr w14:paraId="790A23EC">
        <w:trPr>
          <w:cantSplit/>
          <w:jc w:val="center"/>
        </w:trPr>
        <w:tc>
          <w:tcPr>
            <w:tcW w:w="1656" w:type="dxa"/>
            <w:vAlign w:val="center"/>
          </w:tcPr>
          <w:p w14:paraId="136A3D58">
            <w:pPr>
              <w:spacing w:before="40" w:after="40" w:line="280" w:lineRule="exact"/>
            </w:pPr>
            <w:r>
              <w:rPr>
                <w:rFonts w:ascii="Arial Unicode MS" w:hAnsi="Arial Unicode MS" w:eastAsia="Arial Unicode MS"/>
                <w:b w:val="0"/>
                <w:color w:val="000000"/>
                <w:sz w:val="19"/>
              </w:rPr>
              <w:t>F17</w:t>
            </w:r>
            <w:r>
              <w:br w:type="textWrapping"/>
            </w:r>
            <w:r>
              <w:rPr>
                <w:rFonts w:ascii="Arial Unicode MS" w:hAnsi="Arial Unicode MS" w:eastAsia="Arial Unicode MS"/>
                <w:b w:val="0"/>
                <w:color w:val="000000"/>
                <w:sz w:val="19"/>
              </w:rPr>
              <w:t>批准变更的现场生效与记录</w:t>
            </w:r>
          </w:p>
        </w:tc>
        <w:tc>
          <w:tcPr>
            <w:tcW w:w="3816" w:type="dxa"/>
            <w:vAlign w:val="center"/>
          </w:tcPr>
          <w:p w14:paraId="31004F40">
            <w:pPr>
              <w:spacing w:before="40" w:after="40" w:line="280" w:lineRule="exact"/>
            </w:pPr>
            <w:r>
              <w:rPr>
                <w:rFonts w:ascii="Arial Unicode MS" w:hAnsi="Arial Unicode MS" w:eastAsia="Arial Unicode MS"/>
                <w:b w:val="0"/>
                <w:color w:val="000000"/>
                <w:sz w:val="19"/>
              </w:rPr>
              <w:t>准备 接收ECN及批准的新旧料、版本和生效对象规则。</w:t>
            </w:r>
            <w:r>
              <w:br w:type="textWrapping"/>
            </w:r>
            <w:r>
              <w:rPr>
                <w:rFonts w:ascii="Arial Unicode MS" w:hAnsi="Arial Unicode MS" w:eastAsia="Arial Unicode MS"/>
                <w:b w:val="0"/>
                <w:color w:val="000000"/>
                <w:sz w:val="19"/>
              </w:rPr>
              <w:t>正常 按批准适用性使用物料和作业依据，记录实际采用版本。</w:t>
            </w:r>
          </w:p>
        </w:tc>
        <w:tc>
          <w:tcPr>
            <w:tcW w:w="3384" w:type="dxa"/>
            <w:vAlign w:val="center"/>
          </w:tcPr>
          <w:p w14:paraId="34B69F90">
            <w:pPr>
              <w:spacing w:before="40" w:after="40" w:line="280" w:lineRule="exact"/>
            </w:pPr>
            <w:r>
              <w:rPr>
                <w:rFonts w:ascii="Arial Unicode MS" w:hAnsi="Arial Unicode MS" w:eastAsia="Arial Unicode MS"/>
                <w:b w:val="0"/>
                <w:color w:val="000000"/>
                <w:sz w:val="19"/>
              </w:rPr>
              <w:t>识别在制影响、旧料兼容及例外使用，保留批准、执行和追溯结果。</w:t>
            </w:r>
          </w:p>
        </w:tc>
        <w:tc>
          <w:tcPr>
            <w:tcW w:w="3528" w:type="dxa"/>
            <w:vAlign w:val="center"/>
          </w:tcPr>
          <w:p w14:paraId="5B6CAFA1">
            <w:pPr>
              <w:spacing w:before="40" w:after="40" w:line="280" w:lineRule="exact"/>
            </w:pPr>
            <w:r>
              <w:rPr>
                <w:rFonts w:ascii="Arial Unicode MS" w:hAnsi="Arial Unicode MS" w:eastAsia="Arial Unicode MS"/>
                <w:b w:val="0"/>
                <w:color w:val="000000"/>
                <w:sz w:val="19"/>
              </w:rPr>
              <w:t>ECN审批、设计修改及采购旧料处置由工程/ERP/OA负责；MES执行结果可核查。</w:t>
            </w:r>
          </w:p>
        </w:tc>
        <w:tc>
          <w:tcPr>
            <w:tcW w:w="1440" w:type="dxa"/>
            <w:vAlign w:val="center"/>
          </w:tcPr>
          <w:p w14:paraId="49786C1C">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专家建议</w:t>
            </w:r>
          </w:p>
        </w:tc>
      </w:tr>
      <w:tr w14:paraId="3A3319CF">
        <w:trPr>
          <w:cantSplit/>
          <w:jc w:val="center"/>
        </w:trPr>
        <w:tc>
          <w:tcPr>
            <w:tcW w:w="1656" w:type="dxa"/>
            <w:shd w:val="clear" w:color="auto" w:fill="F1F5F8"/>
            <w:vAlign w:val="center"/>
          </w:tcPr>
          <w:p w14:paraId="1565E8B1">
            <w:pPr>
              <w:spacing w:before="40" w:after="40" w:line="280" w:lineRule="exact"/>
            </w:pPr>
            <w:r>
              <w:rPr>
                <w:rFonts w:ascii="Arial Unicode MS" w:hAnsi="Arial Unicode MS" w:eastAsia="Arial Unicode MS"/>
                <w:b w:val="0"/>
                <w:color w:val="000000"/>
                <w:sz w:val="19"/>
              </w:rPr>
              <w:t>F59</w:t>
            </w:r>
            <w:r>
              <w:br w:type="textWrapping"/>
            </w:r>
            <w:r>
              <w:rPr>
                <w:rFonts w:ascii="Arial Unicode MS" w:hAnsi="Arial Unicode MS" w:eastAsia="Arial Unicode MS"/>
                <w:b w:val="0"/>
                <w:color w:val="000000"/>
                <w:sz w:val="19"/>
              </w:rPr>
              <w:t>任务投产就绪校验</w:t>
            </w:r>
          </w:p>
        </w:tc>
        <w:tc>
          <w:tcPr>
            <w:tcW w:w="3816" w:type="dxa"/>
            <w:shd w:val="clear" w:color="auto" w:fill="F1F5F8"/>
            <w:vAlign w:val="center"/>
          </w:tcPr>
          <w:p w14:paraId="41E0385A">
            <w:pPr>
              <w:spacing w:before="40" w:after="40" w:line="280" w:lineRule="exact"/>
            </w:pPr>
            <w:r>
              <w:rPr>
                <w:rFonts w:ascii="Arial Unicode MS" w:hAnsi="Arial Unicode MS" w:eastAsia="Arial Unicode MS"/>
                <w:b w:val="0"/>
                <w:color w:val="000000"/>
                <w:sz w:val="19"/>
              </w:rPr>
              <w:t>准备 维护关键资料、可用物料、人员资格、资源状态及首产关注的检查清单。</w:t>
            </w:r>
            <w:r>
              <w:br w:type="textWrapping"/>
            </w:r>
            <w:r>
              <w:rPr>
                <w:rFonts w:ascii="Arial Unicode MS" w:hAnsi="Arial Unicode MS" w:eastAsia="Arial Unicode MS"/>
                <w:b w:val="0"/>
                <w:color w:val="000000"/>
                <w:sz w:val="19"/>
              </w:rPr>
              <w:t>正常 在获准任务开工前显示就绪情况；关键条件符合后执行。</w:t>
            </w:r>
          </w:p>
        </w:tc>
        <w:tc>
          <w:tcPr>
            <w:tcW w:w="3384" w:type="dxa"/>
            <w:shd w:val="clear" w:color="auto" w:fill="F1F5F8"/>
            <w:vAlign w:val="center"/>
          </w:tcPr>
          <w:p w14:paraId="3233C81C">
            <w:pPr>
              <w:spacing w:before="40" w:after="40" w:line="280" w:lineRule="exact"/>
            </w:pPr>
            <w:r>
              <w:rPr>
                <w:rFonts w:ascii="Arial Unicode MS" w:hAnsi="Arial Unicode MS" w:eastAsia="Arial Unicode MS"/>
                <w:b w:val="0"/>
                <w:color w:val="000000"/>
                <w:sz w:val="19"/>
              </w:rPr>
              <w:t>缺料、待检、资料缺项、资源不可用及授权偏离显式记录并通知主责。</w:t>
            </w:r>
          </w:p>
        </w:tc>
        <w:tc>
          <w:tcPr>
            <w:tcW w:w="3528" w:type="dxa"/>
            <w:shd w:val="clear" w:color="auto" w:fill="F1F5F8"/>
            <w:vAlign w:val="center"/>
          </w:tcPr>
          <w:p w14:paraId="0B6B11DD">
            <w:pPr>
              <w:spacing w:before="40" w:after="40" w:line="280" w:lineRule="exact"/>
            </w:pPr>
            <w:r>
              <w:rPr>
                <w:rFonts w:ascii="Arial Unicode MS" w:hAnsi="Arial Unicode MS" w:eastAsia="Arial Unicode MS"/>
                <w:b w:val="0"/>
                <w:color w:val="000000"/>
                <w:sz w:val="19"/>
              </w:rPr>
              <w:t>消费ERP齐套/供应状态和工程批准结果；不计算MRP或自动有限排程。</w:t>
            </w:r>
          </w:p>
        </w:tc>
        <w:tc>
          <w:tcPr>
            <w:tcW w:w="1440" w:type="dxa"/>
            <w:shd w:val="clear" w:color="auto" w:fill="F1F5F8"/>
            <w:vAlign w:val="center"/>
          </w:tcPr>
          <w:p w14:paraId="75A2D87D">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专家建议</w:t>
            </w:r>
          </w:p>
        </w:tc>
      </w:tr>
    </w:tbl>
    <w:p w14:paraId="7831240A">
      <w:pPr>
        <w:pStyle w:val="5"/>
      </w:pPr>
      <w:r>
        <w:rPr>
          <w:rFonts w:ascii="Arial Unicode MS" w:hAnsi="Arial Unicode MS" w:eastAsia="Arial Unicode MS"/>
          <w:color w:val="000000"/>
        </w:rPr>
        <w:t>M02 生产资源与资格管理</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6D990AC9">
        <w:trPr>
          <w:cantSplit/>
          <w:tblHeader/>
          <w:jc w:val="center"/>
        </w:trPr>
        <w:tc>
          <w:tcPr>
            <w:tcW w:w="1656" w:type="dxa"/>
            <w:shd w:val="clear" w:color="auto" w:fill="234A68"/>
            <w:vAlign w:val="center"/>
          </w:tcPr>
          <w:p w14:paraId="357D7F5B">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4AA777D6">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660E7AF9">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4335B6D4">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25FF7177">
            <w:pPr>
              <w:keepNext/>
              <w:spacing w:before="40" w:after="40" w:line="280" w:lineRule="exact"/>
              <w:jc w:val="center"/>
            </w:pPr>
            <w:r>
              <w:rPr>
                <w:rFonts w:ascii="Arial Unicode MS" w:hAnsi="Arial Unicode MS" w:eastAsia="Arial Unicode MS"/>
                <w:b/>
                <w:color w:val="FFFFFF"/>
                <w:sz w:val="19"/>
              </w:rPr>
              <w:t>优先级与依据</w:t>
            </w:r>
          </w:p>
        </w:tc>
      </w:tr>
      <w:tr w14:paraId="7C6E0799">
        <w:trPr>
          <w:cantSplit/>
          <w:jc w:val="center"/>
        </w:trPr>
        <w:tc>
          <w:tcPr>
            <w:tcW w:w="1656" w:type="dxa"/>
            <w:vAlign w:val="center"/>
          </w:tcPr>
          <w:p w14:paraId="2C402309">
            <w:pPr>
              <w:spacing w:before="40" w:after="40" w:line="280" w:lineRule="exact"/>
            </w:pPr>
            <w:r>
              <w:rPr>
                <w:rFonts w:ascii="Arial Unicode MS" w:hAnsi="Arial Unicode MS" w:eastAsia="Arial Unicode MS"/>
                <w:b w:val="0"/>
                <w:color w:val="000000"/>
                <w:sz w:val="19"/>
              </w:rPr>
              <w:t>F01工厂组织、共用模板与差异配置</w:t>
            </w:r>
          </w:p>
        </w:tc>
        <w:tc>
          <w:tcPr>
            <w:tcW w:w="3816" w:type="dxa"/>
            <w:vAlign w:val="center"/>
          </w:tcPr>
          <w:p w14:paraId="288394CD">
            <w:pPr>
              <w:spacing w:before="40" w:after="40" w:line="280" w:lineRule="exact"/>
            </w:pPr>
            <w:r>
              <w:rPr>
                <w:rFonts w:ascii="Arial Unicode MS" w:hAnsi="Arial Unicode MS" w:eastAsia="Arial Unicode MS"/>
                <w:b w:val="0"/>
                <w:color w:val="000000"/>
                <w:sz w:val="19"/>
              </w:rPr>
              <w:t>准备 建立工厂至工位层级及共用/差异配置，任务分别关联委托组织、生产组织与入库去向。正常 按授权组织运行，跨厂复制经验证模板。</w:t>
            </w:r>
          </w:p>
        </w:tc>
        <w:tc>
          <w:tcPr>
            <w:tcW w:w="3384" w:type="dxa"/>
            <w:vAlign w:val="center"/>
          </w:tcPr>
          <w:p w14:paraId="6B26171A">
            <w:pPr>
              <w:spacing w:before="40" w:after="40" w:line="280" w:lineRule="exact"/>
            </w:pPr>
            <w:r>
              <w:rPr>
                <w:rFonts w:ascii="Arial Unicode MS" w:hAnsi="Arial Unicode MS" w:eastAsia="Arial Unicode MS"/>
                <w:b w:val="0"/>
                <w:color w:val="000000"/>
                <w:sz w:val="19"/>
              </w:rPr>
              <w:t>模板升级先评估在制影响；跨厂数据和权限隔离，禁止以覆盖历史配置方式复制。</w:t>
            </w:r>
          </w:p>
        </w:tc>
        <w:tc>
          <w:tcPr>
            <w:tcW w:w="3528" w:type="dxa"/>
            <w:vAlign w:val="center"/>
          </w:tcPr>
          <w:p w14:paraId="0975A838">
            <w:pPr>
              <w:spacing w:before="40" w:after="40" w:line="280" w:lineRule="exact"/>
            </w:pPr>
            <w:r>
              <w:rPr>
                <w:rFonts w:ascii="Arial Unicode MS" w:hAnsi="Arial Unicode MS" w:eastAsia="Arial Unicode MS"/>
                <w:b w:val="0"/>
                <w:color w:val="000000"/>
                <w:sz w:val="19"/>
              </w:rPr>
              <w:t>ERP保留组织、委托及库存账务权威；工厂名称不替代业务组织，新增工厂按分期确认事务规则。</w:t>
            </w:r>
          </w:p>
        </w:tc>
        <w:tc>
          <w:tcPr>
            <w:tcW w:w="1440" w:type="dxa"/>
            <w:vAlign w:val="center"/>
          </w:tcPr>
          <w:p w14:paraId="44057BD6">
            <w:pPr>
              <w:spacing w:before="40" w:after="40" w:line="280" w:lineRule="exact"/>
              <w:jc w:val="center"/>
            </w:pPr>
            <w:r>
              <w:rPr>
                <w:rFonts w:ascii="Arial Unicode MS" w:hAnsi="Arial Unicode MS" w:eastAsia="Arial Unicode MS"/>
                <w:b w:val="0"/>
                <w:color w:val="000000"/>
                <w:sz w:val="19"/>
              </w:rPr>
              <w:t>P0基础 P1扩展专家建议</w:t>
            </w:r>
          </w:p>
        </w:tc>
      </w:tr>
      <w:tr w14:paraId="266B8CFE">
        <w:trPr>
          <w:cantSplit/>
          <w:jc w:val="center"/>
        </w:trPr>
        <w:tc>
          <w:tcPr>
            <w:tcW w:w="1656" w:type="dxa"/>
            <w:shd w:val="clear" w:color="auto" w:fill="F1F5F8"/>
            <w:vAlign w:val="center"/>
          </w:tcPr>
          <w:p w14:paraId="4A14449D">
            <w:pPr>
              <w:spacing w:before="40" w:after="40" w:line="280" w:lineRule="exact"/>
            </w:pPr>
            <w:r>
              <w:rPr>
                <w:rFonts w:ascii="Arial Unicode MS" w:hAnsi="Arial Unicode MS" w:eastAsia="Arial Unicode MS"/>
                <w:b w:val="0"/>
                <w:color w:val="000000"/>
                <w:sz w:val="19"/>
              </w:rPr>
              <w:t>F04关键岗位技能与操作资格</w:t>
            </w:r>
          </w:p>
        </w:tc>
        <w:tc>
          <w:tcPr>
            <w:tcW w:w="3816" w:type="dxa"/>
            <w:shd w:val="clear" w:color="auto" w:fill="F1F5F8"/>
            <w:vAlign w:val="center"/>
          </w:tcPr>
          <w:p w14:paraId="43AE5477">
            <w:pPr>
              <w:spacing w:before="40" w:after="40" w:line="280" w:lineRule="exact"/>
            </w:pPr>
            <w:r>
              <w:rPr>
                <w:rFonts w:ascii="Arial Unicode MS" w:hAnsi="Arial Unicode MS" w:eastAsia="Arial Unicode MS"/>
                <w:b w:val="0"/>
                <w:color w:val="000000"/>
                <w:sz w:val="19"/>
              </w:rPr>
              <w:t>准备 引用已有考核结果配置岗位、工序和有效资格。正常 人员登录后按岗位资格执行适用作业，关键测试岗位校验资格。</w:t>
            </w:r>
          </w:p>
        </w:tc>
        <w:tc>
          <w:tcPr>
            <w:tcW w:w="3384" w:type="dxa"/>
            <w:shd w:val="clear" w:color="auto" w:fill="F1F5F8"/>
            <w:vAlign w:val="center"/>
          </w:tcPr>
          <w:p w14:paraId="693A2DAA">
            <w:pPr>
              <w:spacing w:before="40" w:after="40" w:line="280" w:lineRule="exact"/>
            </w:pPr>
            <w:r>
              <w:rPr>
                <w:rFonts w:ascii="Arial Unicode MS" w:hAnsi="Arial Unicode MS" w:eastAsia="Arial Unicode MS"/>
                <w:b w:val="0"/>
                <w:color w:val="000000"/>
                <w:sz w:val="19"/>
              </w:rPr>
              <w:t>资格失效、撤销或临时授权有记录；未经批准不可代操作。</w:t>
            </w:r>
          </w:p>
        </w:tc>
        <w:tc>
          <w:tcPr>
            <w:tcW w:w="3528" w:type="dxa"/>
            <w:shd w:val="clear" w:color="auto" w:fill="F1F5F8"/>
            <w:vAlign w:val="center"/>
          </w:tcPr>
          <w:p w14:paraId="678804B9">
            <w:pPr>
              <w:spacing w:before="40" w:after="40" w:line="280" w:lineRule="exact"/>
            </w:pPr>
            <w:r>
              <w:rPr>
                <w:rFonts w:ascii="Arial Unicode MS" w:hAnsi="Arial Unicode MS" w:eastAsia="Arial Unicode MS"/>
                <w:b w:val="0"/>
                <w:color w:val="000000"/>
                <w:sz w:val="19"/>
              </w:rPr>
              <w:t>不建设招聘、薪酬和完整HR培训系统。</w:t>
            </w:r>
          </w:p>
        </w:tc>
        <w:tc>
          <w:tcPr>
            <w:tcW w:w="1440" w:type="dxa"/>
            <w:shd w:val="clear" w:color="auto" w:fill="F1F5F8"/>
            <w:vAlign w:val="center"/>
          </w:tcPr>
          <w:p w14:paraId="3B5FB1F2">
            <w:pPr>
              <w:spacing w:before="40" w:after="40" w:line="280" w:lineRule="exact"/>
              <w:jc w:val="center"/>
            </w:pPr>
            <w:r>
              <w:rPr>
                <w:rFonts w:ascii="Arial Unicode MS" w:hAnsi="Arial Unicode MS" w:eastAsia="Arial Unicode MS"/>
                <w:b w:val="0"/>
                <w:color w:val="000000"/>
                <w:sz w:val="19"/>
              </w:rPr>
              <w:t>P0明确需求</w:t>
            </w:r>
          </w:p>
        </w:tc>
      </w:tr>
      <w:tr w14:paraId="1668BD63">
        <w:trPr>
          <w:cantSplit/>
          <w:jc w:val="center"/>
        </w:trPr>
        <w:tc>
          <w:tcPr>
            <w:tcW w:w="1656" w:type="dxa"/>
            <w:vAlign w:val="center"/>
          </w:tcPr>
          <w:p w14:paraId="7FA76BBD">
            <w:pPr>
              <w:spacing w:before="40" w:after="40" w:line="280" w:lineRule="exact"/>
            </w:pPr>
            <w:r>
              <w:rPr>
                <w:rFonts w:ascii="Arial Unicode MS" w:hAnsi="Arial Unicode MS" w:eastAsia="Arial Unicode MS"/>
                <w:b w:val="0"/>
                <w:color w:val="000000"/>
                <w:sz w:val="19"/>
              </w:rPr>
              <w:t>F05岗位调配与未完任务承接</w:t>
            </w:r>
          </w:p>
        </w:tc>
        <w:tc>
          <w:tcPr>
            <w:tcW w:w="3816" w:type="dxa"/>
            <w:vAlign w:val="center"/>
          </w:tcPr>
          <w:p w14:paraId="68CA4CDF">
            <w:pPr>
              <w:spacing w:before="40" w:after="40" w:line="280" w:lineRule="exact"/>
            </w:pPr>
            <w:r>
              <w:rPr>
                <w:rFonts w:ascii="Arial Unicode MS" w:hAnsi="Arial Unicode MS" w:eastAsia="Arial Unicode MS"/>
                <w:b w:val="0"/>
                <w:color w:val="000000"/>
                <w:sz w:val="19"/>
              </w:rPr>
              <w:t>准备 定义固定岗位、合资格支援及未完承接。正常 支持岗位内多型号、多车及允许跨线，记录计划分配和实际作业。</w:t>
            </w:r>
          </w:p>
        </w:tc>
        <w:tc>
          <w:tcPr>
            <w:tcW w:w="3384" w:type="dxa"/>
            <w:vAlign w:val="center"/>
          </w:tcPr>
          <w:p w14:paraId="00B152E1">
            <w:pPr>
              <w:spacing w:before="40" w:after="40" w:line="280" w:lineRule="exact"/>
            </w:pPr>
            <w:r>
              <w:rPr>
                <w:rFonts w:ascii="Arial Unicode MS" w:hAnsi="Arial Unicode MS" w:eastAsia="Arial Unicode MS"/>
                <w:b w:val="0"/>
                <w:color w:val="000000"/>
                <w:sz w:val="19"/>
              </w:rPr>
              <w:t>请假、临时支援、换车与部分未完保留人员、对象、数量及状态。</w:t>
            </w:r>
          </w:p>
        </w:tc>
        <w:tc>
          <w:tcPr>
            <w:tcW w:w="3528" w:type="dxa"/>
            <w:vAlign w:val="center"/>
          </w:tcPr>
          <w:p w14:paraId="2CF081A7">
            <w:pPr>
              <w:spacing w:before="40" w:after="40" w:line="280" w:lineRule="exact"/>
            </w:pPr>
            <w:r>
              <w:rPr>
                <w:rFonts w:ascii="Arial Unicode MS" w:hAnsi="Arial Unicode MS" w:eastAsia="Arial Unicode MS"/>
                <w:b w:val="0"/>
                <w:color w:val="000000"/>
                <w:sz w:val="19"/>
              </w:rPr>
              <w:t>不强制所有临时调配逐次审批，不纳入薪资或最优人员排班。</w:t>
            </w:r>
          </w:p>
        </w:tc>
        <w:tc>
          <w:tcPr>
            <w:tcW w:w="1440" w:type="dxa"/>
            <w:vAlign w:val="center"/>
          </w:tcPr>
          <w:p w14:paraId="52FFEC40">
            <w:pPr>
              <w:spacing w:before="40" w:after="40" w:line="280" w:lineRule="exact"/>
              <w:jc w:val="center"/>
            </w:pPr>
            <w:r>
              <w:rPr>
                <w:rFonts w:ascii="Arial Unicode MS" w:hAnsi="Arial Unicode MS" w:eastAsia="Arial Unicode MS"/>
                <w:b w:val="0"/>
                <w:color w:val="000000"/>
                <w:sz w:val="19"/>
              </w:rPr>
              <w:t>P0专家建议</w:t>
            </w:r>
          </w:p>
        </w:tc>
      </w:tr>
      <w:tr w14:paraId="1FD5F15A">
        <w:trPr>
          <w:cantSplit/>
          <w:jc w:val="center"/>
        </w:trPr>
        <w:tc>
          <w:tcPr>
            <w:tcW w:w="1656" w:type="dxa"/>
            <w:shd w:val="clear" w:color="auto" w:fill="F1F5F8"/>
            <w:vAlign w:val="center"/>
          </w:tcPr>
          <w:p w14:paraId="015C180E">
            <w:pPr>
              <w:spacing w:before="40" w:after="40" w:line="280" w:lineRule="exact"/>
            </w:pPr>
            <w:r>
              <w:rPr>
                <w:rFonts w:ascii="Arial Unicode MS" w:hAnsi="Arial Unicode MS" w:eastAsia="Arial Unicode MS"/>
                <w:b w:val="0"/>
                <w:color w:val="000000"/>
                <w:sz w:val="19"/>
              </w:rPr>
              <w:t>F06制造责任与通知规则</w:t>
            </w:r>
          </w:p>
        </w:tc>
        <w:tc>
          <w:tcPr>
            <w:tcW w:w="3816" w:type="dxa"/>
            <w:shd w:val="clear" w:color="auto" w:fill="F1F5F8"/>
            <w:vAlign w:val="center"/>
          </w:tcPr>
          <w:p w14:paraId="044EA7FB">
            <w:pPr>
              <w:spacing w:before="40" w:after="40" w:line="280" w:lineRule="exact"/>
            </w:pPr>
            <w:r>
              <w:rPr>
                <w:rFonts w:ascii="Arial Unicode MS" w:hAnsi="Arial Unicode MS" w:eastAsia="Arial Unicode MS"/>
                <w:b w:val="0"/>
                <w:color w:val="000000"/>
                <w:sz w:val="19"/>
              </w:rPr>
              <w:t>准备 维护工序、工程支持、异常、数据和交接的责任岗位及升级关系。正常 作业事件能通知相应主责并保留承接结果。</w:t>
            </w:r>
          </w:p>
        </w:tc>
        <w:tc>
          <w:tcPr>
            <w:tcW w:w="3384" w:type="dxa"/>
            <w:shd w:val="clear" w:color="auto" w:fill="F1F5F8"/>
            <w:vAlign w:val="center"/>
          </w:tcPr>
          <w:p w14:paraId="35F98065">
            <w:pPr>
              <w:spacing w:before="40" w:after="40" w:line="280" w:lineRule="exact"/>
            </w:pPr>
            <w:r>
              <w:rPr>
                <w:rFonts w:ascii="Arial Unicode MS" w:hAnsi="Arial Unicode MS" w:eastAsia="Arial Unicode MS"/>
                <w:b w:val="0"/>
                <w:color w:val="000000"/>
                <w:sz w:val="19"/>
              </w:rPr>
              <w:t>无人响应、责任变更或通知失败时升级，业务状态不因通知送达自动关闭。</w:t>
            </w:r>
          </w:p>
        </w:tc>
        <w:tc>
          <w:tcPr>
            <w:tcW w:w="3528" w:type="dxa"/>
            <w:shd w:val="clear" w:color="auto" w:fill="F1F5F8"/>
            <w:vAlign w:val="center"/>
          </w:tcPr>
          <w:p w14:paraId="3FFB1555">
            <w:pPr>
              <w:spacing w:before="40" w:after="40" w:line="280" w:lineRule="exact"/>
            </w:pPr>
            <w:r>
              <w:rPr>
                <w:rFonts w:ascii="Arial Unicode MS" w:hAnsi="Arial Unicode MS" w:eastAsia="Arial Unicode MS"/>
                <w:b w:val="0"/>
                <w:color w:val="000000"/>
                <w:sz w:val="19"/>
              </w:rPr>
              <w:t>组织责任先由业务明确；MES不替代现有OA审批。</w:t>
            </w:r>
          </w:p>
        </w:tc>
        <w:tc>
          <w:tcPr>
            <w:tcW w:w="1440" w:type="dxa"/>
            <w:shd w:val="clear" w:color="auto" w:fill="F1F5F8"/>
            <w:vAlign w:val="center"/>
          </w:tcPr>
          <w:p w14:paraId="2B451139">
            <w:pPr>
              <w:spacing w:before="40" w:after="40" w:line="280" w:lineRule="exact"/>
              <w:jc w:val="center"/>
            </w:pPr>
            <w:r>
              <w:rPr>
                <w:rFonts w:ascii="Arial Unicode MS" w:hAnsi="Arial Unicode MS" w:eastAsia="Arial Unicode MS"/>
                <w:b w:val="0"/>
                <w:color w:val="000000"/>
                <w:sz w:val="19"/>
              </w:rPr>
              <w:t>P0专家建议</w:t>
            </w:r>
          </w:p>
        </w:tc>
      </w:tr>
      <w:tr w14:paraId="3E7A1010">
        <w:trPr>
          <w:cantSplit/>
          <w:jc w:val="center"/>
        </w:trPr>
        <w:tc>
          <w:tcPr>
            <w:tcW w:w="1656" w:type="dxa"/>
            <w:vAlign w:val="center"/>
          </w:tcPr>
          <w:p w14:paraId="07EB1367">
            <w:pPr>
              <w:spacing w:before="40" w:after="40" w:line="280" w:lineRule="exact"/>
            </w:pPr>
            <w:r>
              <w:rPr>
                <w:rFonts w:ascii="Arial Unicode MS" w:hAnsi="Arial Unicode MS" w:eastAsia="Arial Unicode MS"/>
                <w:b w:val="0"/>
                <w:color w:val="000000"/>
                <w:sz w:val="19"/>
              </w:rPr>
              <w:t>F19制造资源与工时基准</w:t>
            </w:r>
          </w:p>
        </w:tc>
        <w:tc>
          <w:tcPr>
            <w:tcW w:w="3816" w:type="dxa"/>
            <w:vAlign w:val="center"/>
          </w:tcPr>
          <w:p w14:paraId="5BF50195">
            <w:pPr>
              <w:spacing w:before="40" w:after="40" w:line="280" w:lineRule="exact"/>
            </w:pPr>
            <w:r>
              <w:rPr>
                <w:rFonts w:ascii="Arial Unicode MS" w:hAnsi="Arial Unicode MS" w:eastAsia="Arial Unicode MS"/>
                <w:b w:val="0"/>
                <w:color w:val="000000"/>
                <w:sz w:val="19"/>
              </w:rPr>
              <w:t>准备 复用局部工时和工作量参考，按型号、工序、资源、班次时长维护来源、条件、版本与有效期，区分经验及批准基准。正常 经样本校核后供准备、派工和分析使用。</w:t>
            </w:r>
          </w:p>
        </w:tc>
        <w:tc>
          <w:tcPr>
            <w:tcW w:w="3384" w:type="dxa"/>
            <w:vAlign w:val="center"/>
          </w:tcPr>
          <w:p w14:paraId="0D765733">
            <w:pPr>
              <w:spacing w:before="40" w:after="40" w:line="280" w:lineRule="exact"/>
            </w:pPr>
            <w:r>
              <w:rPr>
                <w:rFonts w:ascii="Arial Unicode MS" w:hAnsi="Arial Unicode MS" w:eastAsia="Arial Unicode MS"/>
                <w:b w:val="0"/>
                <w:color w:val="000000"/>
                <w:sz w:val="19"/>
              </w:rPr>
              <w:t>缺项、欠料、工艺等待、多人/跨线及实际偏差单列，工时与工作量目标不混同。</w:t>
            </w:r>
          </w:p>
        </w:tc>
        <w:tc>
          <w:tcPr>
            <w:tcW w:w="3528" w:type="dxa"/>
            <w:vAlign w:val="center"/>
          </w:tcPr>
          <w:p w14:paraId="68C7F490">
            <w:pPr>
              <w:spacing w:before="40" w:after="40" w:line="280" w:lineRule="exact"/>
            </w:pPr>
            <w:r>
              <w:rPr>
                <w:rFonts w:ascii="Arial Unicode MS" w:hAnsi="Arial Unicode MS" w:eastAsia="Arial Unicode MS"/>
                <w:b w:val="0"/>
                <w:color w:val="000000"/>
                <w:sz w:val="19"/>
              </w:rPr>
              <w:t>不将口述日产量或标准工作量当实际分钟、现有产能；不含自动有限排程及交期承诺。</w:t>
            </w:r>
          </w:p>
        </w:tc>
        <w:tc>
          <w:tcPr>
            <w:tcW w:w="1440" w:type="dxa"/>
            <w:vAlign w:val="center"/>
          </w:tcPr>
          <w:p w14:paraId="62F278BF">
            <w:pPr>
              <w:spacing w:before="40" w:after="40" w:line="280" w:lineRule="exact"/>
              <w:jc w:val="center"/>
            </w:pPr>
            <w:r>
              <w:rPr>
                <w:rFonts w:ascii="Arial Unicode MS" w:hAnsi="Arial Unicode MS" w:eastAsia="Arial Unicode MS"/>
                <w:b w:val="0"/>
                <w:color w:val="000000"/>
                <w:sz w:val="19"/>
              </w:rPr>
              <w:t>P0专家建议</w:t>
            </w:r>
          </w:p>
        </w:tc>
      </w:tr>
      <w:tr w14:paraId="584AEAE0">
        <w:trPr>
          <w:cantSplit/>
          <w:jc w:val="center"/>
        </w:trPr>
        <w:tc>
          <w:tcPr>
            <w:tcW w:w="1656" w:type="dxa"/>
            <w:shd w:val="clear" w:color="auto" w:fill="F1F5F8"/>
            <w:vAlign w:val="center"/>
          </w:tcPr>
          <w:p w14:paraId="5C07E205">
            <w:pPr>
              <w:spacing w:before="40" w:after="40" w:line="280" w:lineRule="exact"/>
            </w:pPr>
            <w:r>
              <w:rPr>
                <w:rFonts w:ascii="Arial Unicode MS" w:hAnsi="Arial Unicode MS" w:eastAsia="Arial Unicode MS"/>
                <w:b w:val="0"/>
                <w:color w:val="000000"/>
                <w:sz w:val="19"/>
              </w:rPr>
              <w:t>F43关键设备、工装和量具资源</w:t>
            </w:r>
          </w:p>
        </w:tc>
        <w:tc>
          <w:tcPr>
            <w:tcW w:w="3816" w:type="dxa"/>
            <w:shd w:val="clear" w:color="auto" w:fill="F1F5F8"/>
            <w:vAlign w:val="center"/>
          </w:tcPr>
          <w:p w14:paraId="7D2071AE">
            <w:pPr>
              <w:spacing w:before="40" w:after="40" w:line="280" w:lineRule="exact"/>
            </w:pPr>
            <w:r>
              <w:rPr>
                <w:rFonts w:ascii="Arial Unicode MS" w:hAnsi="Arial Unicode MS" w:eastAsia="Arial Unicode MS"/>
                <w:b w:val="0"/>
                <w:color w:val="000000"/>
                <w:sz w:val="19"/>
              </w:rPr>
              <w:t>准备 统一关键设备、工装、量具身份及适用关系，引用校准证书和有效期。正常 必要测量记录实际使用量具及当时有效状态，支持人工录入或扫码。</w:t>
            </w:r>
          </w:p>
        </w:tc>
        <w:tc>
          <w:tcPr>
            <w:tcW w:w="3384" w:type="dxa"/>
            <w:shd w:val="clear" w:color="auto" w:fill="F1F5F8"/>
            <w:vAlign w:val="center"/>
          </w:tcPr>
          <w:p w14:paraId="7E9B619A">
            <w:pPr>
              <w:spacing w:before="40" w:after="40" w:line="280" w:lineRule="exact"/>
            </w:pPr>
            <w:r>
              <w:rPr>
                <w:rFonts w:ascii="Arial Unicode MS" w:hAnsi="Arial Unicode MS" w:eastAsia="Arial Unicode MS"/>
                <w:b w:val="0"/>
                <w:color w:val="000000"/>
                <w:sz w:val="19"/>
              </w:rPr>
              <w:t>停用、损坏、超期、不适用或身份缺失提示并按风险分级控制；发现计量异常可检索已关联记录供评估。</w:t>
            </w:r>
          </w:p>
        </w:tc>
        <w:tc>
          <w:tcPr>
            <w:tcW w:w="3528" w:type="dxa"/>
            <w:shd w:val="clear" w:color="auto" w:fill="F1F5F8"/>
            <w:vAlign w:val="center"/>
          </w:tcPr>
          <w:p w14:paraId="5C609303">
            <w:pPr>
              <w:spacing w:before="40" w:after="40" w:line="280" w:lineRule="exact"/>
            </w:pPr>
            <w:r>
              <w:rPr>
                <w:rFonts w:ascii="Arial Unicode MS" w:hAnsi="Arial Unicode MS" w:eastAsia="Arial Unicode MS"/>
                <w:b w:val="0"/>
                <w:color w:val="000000"/>
                <w:sz w:val="19"/>
              </w:rPr>
              <w:t>关键资源有效性按风险分级关联开工，完整资产财务与采购不纳入本项。</w:t>
            </w:r>
          </w:p>
        </w:tc>
        <w:tc>
          <w:tcPr>
            <w:tcW w:w="1440" w:type="dxa"/>
            <w:shd w:val="clear" w:color="auto" w:fill="F1F5F8"/>
            <w:vAlign w:val="center"/>
          </w:tcPr>
          <w:p w14:paraId="65A38F53">
            <w:pPr>
              <w:spacing w:before="40" w:after="40" w:line="280" w:lineRule="exact"/>
              <w:jc w:val="center"/>
            </w:pPr>
            <w:r>
              <w:rPr>
                <w:rFonts w:ascii="Arial Unicode MS" w:hAnsi="Arial Unicode MS" w:eastAsia="Arial Unicode MS"/>
                <w:b w:val="0"/>
                <w:color w:val="000000"/>
                <w:sz w:val="19"/>
              </w:rPr>
              <w:t>P0专家建议</w:t>
            </w:r>
          </w:p>
        </w:tc>
      </w:tr>
    </w:tbl>
    <w:p w14:paraId="56DE6014">
      <w:pPr>
        <w:pStyle w:val="5"/>
      </w:pPr>
      <w:r>
        <w:rPr>
          <w:rFonts w:ascii="Arial Unicode MS" w:hAnsi="Arial Unicode MS" w:eastAsia="Arial Unicode MS"/>
          <w:color w:val="000000"/>
        </w:rPr>
        <w:t>M03 生产执行与在制管理</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71466BDF">
        <w:trPr>
          <w:cantSplit/>
          <w:tblHeader/>
          <w:jc w:val="center"/>
        </w:trPr>
        <w:tc>
          <w:tcPr>
            <w:tcW w:w="1656" w:type="dxa"/>
            <w:shd w:val="clear" w:color="auto" w:fill="234A68"/>
            <w:vAlign w:val="center"/>
          </w:tcPr>
          <w:p w14:paraId="1F225BEF">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277818F9">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5D2E196E">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2D214765">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78C257F2">
            <w:pPr>
              <w:keepNext/>
              <w:spacing w:before="40" w:after="40" w:line="280" w:lineRule="exact"/>
              <w:jc w:val="center"/>
            </w:pPr>
            <w:r>
              <w:rPr>
                <w:rFonts w:ascii="Arial Unicode MS" w:hAnsi="Arial Unicode MS" w:eastAsia="Arial Unicode MS"/>
                <w:b/>
                <w:color w:val="FFFFFF"/>
                <w:sz w:val="19"/>
              </w:rPr>
              <w:t>优先级与依据</w:t>
            </w:r>
          </w:p>
        </w:tc>
      </w:tr>
      <w:tr w14:paraId="244E23EA">
        <w:trPr>
          <w:cantSplit/>
          <w:jc w:val="center"/>
        </w:trPr>
        <w:tc>
          <w:tcPr>
            <w:tcW w:w="1656" w:type="dxa"/>
            <w:vAlign w:val="center"/>
          </w:tcPr>
          <w:p w14:paraId="68AF1EC9">
            <w:pPr>
              <w:spacing w:before="40" w:after="40" w:line="280" w:lineRule="exact"/>
            </w:pPr>
            <w:r>
              <w:rPr>
                <w:rFonts w:ascii="Arial Unicode MS" w:hAnsi="Arial Unicode MS" w:eastAsia="Arial Unicode MS"/>
                <w:b w:val="0"/>
                <w:color w:val="000000"/>
                <w:sz w:val="19"/>
              </w:rPr>
              <w:t>F08获准生产任务及来源接收</w:t>
            </w:r>
          </w:p>
        </w:tc>
        <w:tc>
          <w:tcPr>
            <w:tcW w:w="3816" w:type="dxa"/>
            <w:vAlign w:val="center"/>
          </w:tcPr>
          <w:p w14:paraId="33B2F4B2">
            <w:pPr>
              <w:spacing w:before="40" w:after="40" w:line="280" w:lineRule="exact"/>
            </w:pPr>
            <w:r>
              <w:rPr>
                <w:rFonts w:ascii="Arial Unicode MS" w:hAnsi="Arial Unicode MS" w:eastAsia="Arial Unicode MS"/>
                <w:b w:val="0"/>
                <w:color w:val="000000"/>
                <w:sz w:val="19"/>
              </w:rPr>
              <w:t>准备 约定ERP任务主键、组织、来源、状态及版本/计划日期字段。正常 接收获准任务及上游映射，工单版本自动带出供核对，账务或料号转换与物理作业分类。</w:t>
            </w:r>
          </w:p>
        </w:tc>
        <w:tc>
          <w:tcPr>
            <w:tcW w:w="3384" w:type="dxa"/>
            <w:vAlign w:val="center"/>
          </w:tcPr>
          <w:p w14:paraId="48D2B10C">
            <w:pPr>
              <w:spacing w:before="40" w:after="40" w:line="280" w:lineRule="exact"/>
            </w:pPr>
            <w:r>
              <w:rPr>
                <w:rFonts w:ascii="Arial Unicode MS" w:hAnsi="Arial Unicode MS" w:eastAsia="Arial Unicode MS"/>
                <w:b w:val="0"/>
                <w:color w:val="000000"/>
                <w:sz w:val="19"/>
              </w:rPr>
              <w:t>来源、组织、版本或日期缺项，重复、变更及取消明确处理；实际执行不得随源单删除。</w:t>
            </w:r>
          </w:p>
        </w:tc>
        <w:tc>
          <w:tcPr>
            <w:tcW w:w="3528" w:type="dxa"/>
            <w:vAlign w:val="center"/>
          </w:tcPr>
          <w:p w14:paraId="1775E583">
            <w:pPr>
              <w:spacing w:before="40" w:after="40" w:line="280" w:lineRule="exact"/>
            </w:pPr>
            <w:r>
              <w:rPr>
                <w:rFonts w:ascii="Arial Unicode MS" w:hAnsi="Arial Unicode MS" w:eastAsia="Arial Unicode MS"/>
                <w:b w:val="0"/>
                <w:color w:val="000000"/>
                <w:sz w:val="19"/>
              </w:rPr>
              <w:t>ERP负责需求、组织和库存事务；MES保留版本语义，不虚构物理作业或推算未维护交期。</w:t>
            </w:r>
          </w:p>
        </w:tc>
        <w:tc>
          <w:tcPr>
            <w:tcW w:w="1440" w:type="dxa"/>
            <w:vAlign w:val="center"/>
          </w:tcPr>
          <w:p w14:paraId="2FED071C">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明确需求及专业细化</w:t>
            </w:r>
          </w:p>
        </w:tc>
      </w:tr>
      <w:tr w14:paraId="2B019009">
        <w:trPr>
          <w:cantSplit/>
          <w:jc w:val="center"/>
        </w:trPr>
        <w:tc>
          <w:tcPr>
            <w:tcW w:w="1656" w:type="dxa"/>
            <w:shd w:val="clear" w:color="auto" w:fill="F1F5F8"/>
            <w:vAlign w:val="center"/>
          </w:tcPr>
          <w:p w14:paraId="53C2FF75">
            <w:pPr>
              <w:spacing w:before="40" w:after="40" w:line="280" w:lineRule="exact"/>
            </w:pPr>
            <w:r>
              <w:rPr>
                <w:rFonts w:ascii="Arial Unicode MS" w:hAnsi="Arial Unicode MS" w:eastAsia="Arial Unicode MS"/>
                <w:b w:val="0"/>
                <w:color w:val="000000"/>
                <w:sz w:val="19"/>
              </w:rPr>
              <w:t>F11任务变更、取消与执行处置</w:t>
            </w:r>
          </w:p>
        </w:tc>
        <w:tc>
          <w:tcPr>
            <w:tcW w:w="3816" w:type="dxa"/>
            <w:shd w:val="clear" w:color="auto" w:fill="F1F5F8"/>
            <w:vAlign w:val="center"/>
          </w:tcPr>
          <w:p w14:paraId="0F0E8D90">
            <w:pPr>
              <w:spacing w:before="40" w:after="40" w:line="280" w:lineRule="exact"/>
            </w:pPr>
            <w:r>
              <w:rPr>
                <w:rFonts w:ascii="Arial Unicode MS" w:hAnsi="Arial Unicode MS" w:eastAsia="Arial Unicode MS"/>
                <w:b w:val="0"/>
                <w:color w:val="000000"/>
                <w:sz w:val="19"/>
              </w:rPr>
              <w:t>准备 定义未备料、已备料、已开工、已完工等状态和变更权限。正常 接收ERP变更/取消指令并反馈执行情况。</w:t>
            </w:r>
          </w:p>
        </w:tc>
        <w:tc>
          <w:tcPr>
            <w:tcW w:w="3384" w:type="dxa"/>
            <w:shd w:val="clear" w:color="auto" w:fill="F1F5F8"/>
            <w:vAlign w:val="center"/>
          </w:tcPr>
          <w:p w14:paraId="6EE78A6A">
            <w:pPr>
              <w:spacing w:before="40" w:after="40" w:line="280" w:lineRule="exact"/>
            </w:pPr>
            <w:r>
              <w:rPr>
                <w:rFonts w:ascii="Arial Unicode MS" w:hAnsi="Arial Unicode MS" w:eastAsia="Arial Unicode MS"/>
                <w:b w:val="0"/>
                <w:color w:val="000000"/>
                <w:sz w:val="19"/>
              </w:rPr>
              <w:t>按当前状态控制停做、余料、在制及成品处置；保留历史，禁止直接删去实际执行。</w:t>
            </w:r>
          </w:p>
        </w:tc>
        <w:tc>
          <w:tcPr>
            <w:tcW w:w="3528" w:type="dxa"/>
            <w:shd w:val="clear" w:color="auto" w:fill="F1F5F8"/>
            <w:vAlign w:val="center"/>
          </w:tcPr>
          <w:p w14:paraId="61CC8389">
            <w:pPr>
              <w:spacing w:before="40" w:after="40" w:line="280" w:lineRule="exact"/>
            </w:pPr>
            <w:r>
              <w:rPr>
                <w:rFonts w:ascii="Arial Unicode MS" w:hAnsi="Arial Unicode MS" w:eastAsia="Arial Unicode MS"/>
                <w:b w:val="0"/>
                <w:color w:val="000000"/>
                <w:sz w:val="19"/>
              </w:rPr>
              <w:t>不在MES进行销售订单商业修改或库存账务调账。</w:t>
            </w:r>
          </w:p>
        </w:tc>
        <w:tc>
          <w:tcPr>
            <w:tcW w:w="1440" w:type="dxa"/>
            <w:shd w:val="clear" w:color="auto" w:fill="F1F5F8"/>
            <w:vAlign w:val="center"/>
          </w:tcPr>
          <w:p w14:paraId="27B800EB">
            <w:pPr>
              <w:spacing w:before="40" w:after="40" w:line="280" w:lineRule="exact"/>
              <w:jc w:val="center"/>
            </w:pPr>
            <w:r>
              <w:rPr>
                <w:rFonts w:ascii="Arial Unicode MS" w:hAnsi="Arial Unicode MS" w:eastAsia="Arial Unicode MS"/>
                <w:b w:val="0"/>
                <w:color w:val="000000"/>
                <w:sz w:val="19"/>
              </w:rPr>
              <w:t>P0明确需求</w:t>
            </w:r>
          </w:p>
        </w:tc>
      </w:tr>
      <w:tr w14:paraId="15E58DED">
        <w:trPr>
          <w:cantSplit/>
          <w:jc w:val="center"/>
        </w:trPr>
        <w:tc>
          <w:tcPr>
            <w:tcW w:w="1656" w:type="dxa"/>
            <w:vAlign w:val="center"/>
          </w:tcPr>
          <w:p w14:paraId="4290CD4F">
            <w:pPr>
              <w:spacing w:before="40" w:after="40" w:line="280" w:lineRule="exact"/>
            </w:pPr>
            <w:r>
              <w:rPr>
                <w:rFonts w:ascii="Arial Unicode MS" w:hAnsi="Arial Unicode MS" w:eastAsia="Arial Unicode MS"/>
                <w:b w:val="0"/>
                <w:color w:val="000000"/>
                <w:sz w:val="19"/>
              </w:rPr>
              <w:t>F20任务派工及工单—载具—单件关联</w:t>
            </w:r>
          </w:p>
        </w:tc>
        <w:tc>
          <w:tcPr>
            <w:tcW w:w="3816" w:type="dxa"/>
            <w:vAlign w:val="center"/>
          </w:tcPr>
          <w:p w14:paraId="4ABA4E6B">
            <w:pPr>
              <w:spacing w:before="40" w:after="40" w:line="280" w:lineRule="exact"/>
            </w:pPr>
            <w:r>
              <w:rPr>
                <w:rFonts w:ascii="Arial Unicode MS" w:hAnsi="Arial Unicode MS" w:eastAsia="Arial Unicode MS"/>
                <w:b w:val="0"/>
                <w:color w:val="000000"/>
                <w:sz w:val="19"/>
              </w:rPr>
              <w:t>准备 独立建模工单、载具容量、作业批量和SN。正常 二楼可先按型号数量派工，再关联实际单车；三楼按在制及车号分配，现有小车15台容量独立配置。</w:t>
            </w:r>
          </w:p>
        </w:tc>
        <w:tc>
          <w:tcPr>
            <w:tcW w:w="3384" w:type="dxa"/>
            <w:vAlign w:val="center"/>
          </w:tcPr>
          <w:p w14:paraId="01D9E392">
            <w:pPr>
              <w:spacing w:before="40" w:after="40" w:line="280" w:lineRule="exact"/>
            </w:pPr>
            <w:r>
              <w:rPr>
                <w:rFonts w:ascii="Arial Unicode MS" w:hAnsi="Arial Unicode MS" w:eastAsia="Arial Unicode MS"/>
                <w:b w:val="0"/>
                <w:color w:val="000000"/>
                <w:sz w:val="19"/>
              </w:rPr>
              <w:t>换车、换序、跨线、部分完成及临时调整保留实际人员、路径、数量和履历。</w:t>
            </w:r>
          </w:p>
        </w:tc>
        <w:tc>
          <w:tcPr>
            <w:tcW w:w="3528" w:type="dxa"/>
            <w:vAlign w:val="center"/>
          </w:tcPr>
          <w:p w14:paraId="2816F38B">
            <w:pPr>
              <w:spacing w:before="40" w:after="40" w:line="280" w:lineRule="exact"/>
            </w:pPr>
            <w:r>
              <w:rPr>
                <w:rFonts w:ascii="Arial Unicode MS" w:hAnsi="Arial Unicode MS" w:eastAsia="Arial Unicode MS"/>
                <w:b w:val="0"/>
                <w:color w:val="000000"/>
                <w:sz w:val="19"/>
              </w:rPr>
              <w:t>不要求粗排预绑未知单车，不以派工代替APS；临时维修集合不改变逐件身份。</w:t>
            </w:r>
          </w:p>
        </w:tc>
        <w:tc>
          <w:tcPr>
            <w:tcW w:w="1440" w:type="dxa"/>
            <w:vAlign w:val="center"/>
          </w:tcPr>
          <w:p w14:paraId="4D4C6BC6">
            <w:pPr>
              <w:spacing w:before="40" w:after="40" w:line="280" w:lineRule="exact"/>
              <w:jc w:val="center"/>
            </w:pPr>
            <w:r>
              <w:rPr>
                <w:rFonts w:ascii="Arial Unicode MS" w:hAnsi="Arial Unicode MS" w:eastAsia="Arial Unicode MS"/>
                <w:b w:val="0"/>
                <w:color w:val="000000"/>
                <w:sz w:val="19"/>
              </w:rPr>
              <w:t>P0明确需求</w:t>
            </w:r>
          </w:p>
        </w:tc>
      </w:tr>
      <w:tr w14:paraId="5642188A">
        <w:trPr>
          <w:cantSplit/>
          <w:jc w:val="center"/>
        </w:trPr>
        <w:tc>
          <w:tcPr>
            <w:tcW w:w="1656" w:type="dxa"/>
            <w:shd w:val="clear" w:color="auto" w:fill="F1F5F8"/>
            <w:vAlign w:val="center"/>
          </w:tcPr>
          <w:p w14:paraId="7594B920">
            <w:pPr>
              <w:spacing w:before="40" w:after="40" w:line="280" w:lineRule="exact"/>
            </w:pPr>
            <w:r>
              <w:rPr>
                <w:rFonts w:ascii="Arial Unicode MS" w:hAnsi="Arial Unicode MS" w:eastAsia="Arial Unicode MS"/>
                <w:b w:val="0"/>
                <w:color w:val="000000"/>
                <w:sz w:val="19"/>
              </w:rPr>
              <w:t>F21预计任务与已下达任务可视</w:t>
            </w:r>
          </w:p>
        </w:tc>
        <w:tc>
          <w:tcPr>
            <w:tcW w:w="3816" w:type="dxa"/>
            <w:shd w:val="clear" w:color="auto" w:fill="F1F5F8"/>
            <w:vAlign w:val="center"/>
          </w:tcPr>
          <w:p w14:paraId="0782A43F">
            <w:pPr>
              <w:spacing w:before="40" w:after="40" w:line="280" w:lineRule="exact"/>
            </w:pPr>
            <w:r>
              <w:rPr>
                <w:rFonts w:ascii="Arial Unicode MS" w:hAnsi="Arial Unicode MS" w:eastAsia="Arial Unicode MS"/>
                <w:b w:val="0"/>
                <w:color w:val="000000"/>
                <w:sz w:val="19"/>
              </w:rPr>
              <w:t>准备 接收上游滚动任务及其确定程度，标明版本/来源。正常 AR56、AR562、AR53能提前查看获准分享的计划，为人员、资料及成品位置做准备。</w:t>
            </w:r>
          </w:p>
        </w:tc>
        <w:tc>
          <w:tcPr>
            <w:tcW w:w="3384" w:type="dxa"/>
            <w:shd w:val="clear" w:color="auto" w:fill="F1F5F8"/>
            <w:vAlign w:val="center"/>
          </w:tcPr>
          <w:p w14:paraId="743C5829">
            <w:pPr>
              <w:spacing w:before="40" w:after="40" w:line="280" w:lineRule="exact"/>
            </w:pPr>
            <w:r>
              <w:rPr>
                <w:rFonts w:ascii="Arial Unicode MS" w:hAnsi="Arial Unicode MS" w:eastAsia="Arial Unicode MS"/>
                <w:b w:val="0"/>
                <w:color w:val="000000"/>
                <w:sz w:val="19"/>
              </w:rPr>
              <w:t>预计流入、已到位、未排和未完分开；预计变更提示受影响岗位，不误报已开工。</w:t>
            </w:r>
          </w:p>
        </w:tc>
        <w:tc>
          <w:tcPr>
            <w:tcW w:w="3528" w:type="dxa"/>
            <w:shd w:val="clear" w:color="auto" w:fill="F1F5F8"/>
            <w:vAlign w:val="center"/>
          </w:tcPr>
          <w:p w14:paraId="408C6AC6">
            <w:pPr>
              <w:spacing w:before="40" w:after="40" w:line="280" w:lineRule="exact"/>
            </w:pPr>
            <w:r>
              <w:rPr>
                <w:rFonts w:ascii="Arial Unicode MS" w:hAnsi="Arial Unicode MS" w:eastAsia="Arial Unicode MS"/>
                <w:b w:val="0"/>
                <w:color w:val="000000"/>
                <w:sz w:val="19"/>
              </w:rPr>
              <w:t>MES展示和反馈任务，不生成一周确定计划或MPS/MRP。</w:t>
            </w:r>
          </w:p>
        </w:tc>
        <w:tc>
          <w:tcPr>
            <w:tcW w:w="1440" w:type="dxa"/>
            <w:shd w:val="clear" w:color="auto" w:fill="F1F5F8"/>
            <w:vAlign w:val="center"/>
          </w:tcPr>
          <w:p w14:paraId="441A0BE0">
            <w:pPr>
              <w:spacing w:before="40" w:after="40" w:line="280" w:lineRule="exact"/>
              <w:jc w:val="center"/>
            </w:pPr>
            <w:r>
              <w:rPr>
                <w:rFonts w:ascii="Arial Unicode MS" w:hAnsi="Arial Unicode MS" w:eastAsia="Arial Unicode MS"/>
                <w:b w:val="0"/>
                <w:color w:val="000000"/>
                <w:sz w:val="19"/>
              </w:rPr>
              <w:t>P0明确需求</w:t>
            </w:r>
          </w:p>
        </w:tc>
      </w:tr>
      <w:tr w14:paraId="6677330E">
        <w:trPr>
          <w:cantSplit/>
          <w:jc w:val="center"/>
        </w:trPr>
        <w:tc>
          <w:tcPr>
            <w:tcW w:w="1656" w:type="dxa"/>
            <w:vAlign w:val="center"/>
          </w:tcPr>
          <w:p w14:paraId="3165E0A3">
            <w:pPr>
              <w:spacing w:before="40" w:after="40" w:line="280" w:lineRule="exact"/>
            </w:pPr>
            <w:r>
              <w:rPr>
                <w:rFonts w:ascii="Arial Unicode MS" w:hAnsi="Arial Unicode MS" w:eastAsia="Arial Unicode MS"/>
                <w:b w:val="0"/>
                <w:color w:val="000000"/>
                <w:sz w:val="19"/>
              </w:rPr>
              <w:t>F22开完工、数量与在制状态</w:t>
            </w:r>
          </w:p>
        </w:tc>
        <w:tc>
          <w:tcPr>
            <w:tcW w:w="3816" w:type="dxa"/>
            <w:vAlign w:val="center"/>
          </w:tcPr>
          <w:p w14:paraId="5A1E3920">
            <w:pPr>
              <w:spacing w:before="40" w:after="40" w:line="280" w:lineRule="exact"/>
            </w:pPr>
            <w:r>
              <w:rPr>
                <w:rFonts w:ascii="Arial Unicode MS" w:hAnsi="Arial Unicode MS" w:eastAsia="Arial Unicode MS"/>
                <w:b w:val="0"/>
                <w:color w:val="000000"/>
                <w:sz w:val="19"/>
              </w:rPr>
              <w:t>准备 定义关键事件、实际时间、位置及数量平衡。正常 记录工位在制、完成、等待、异常和待流入，支持部分批量流转及低负担报工。</w:t>
            </w:r>
          </w:p>
        </w:tc>
        <w:tc>
          <w:tcPr>
            <w:tcW w:w="3384" w:type="dxa"/>
            <w:vAlign w:val="center"/>
          </w:tcPr>
          <w:p w14:paraId="1ED069E9">
            <w:pPr>
              <w:spacing w:before="40" w:after="40" w:line="280" w:lineRule="exact"/>
            </w:pPr>
            <w:r>
              <w:rPr>
                <w:rFonts w:ascii="Arial Unicode MS" w:hAnsi="Arial Unicode MS" w:eastAsia="Arial Unicode MS"/>
                <w:b w:val="0"/>
                <w:color w:val="000000"/>
                <w:sz w:val="19"/>
              </w:rPr>
              <w:t>补录、更正、换车跨线与未完留历史；计划、预测和实际不能互相覆盖。</w:t>
            </w:r>
          </w:p>
        </w:tc>
        <w:tc>
          <w:tcPr>
            <w:tcW w:w="3528" w:type="dxa"/>
            <w:vAlign w:val="center"/>
          </w:tcPr>
          <w:p w14:paraId="36FD6742">
            <w:pPr>
              <w:spacing w:before="40" w:after="40" w:line="280" w:lineRule="exact"/>
            </w:pPr>
            <w:r>
              <w:rPr>
                <w:rFonts w:ascii="Arial Unicode MS" w:hAnsi="Arial Unicode MS" w:eastAsia="Arial Unicode MS"/>
                <w:b w:val="0"/>
                <w:color w:val="000000"/>
                <w:sz w:val="19"/>
              </w:rPr>
              <w:t>不以ERP入库、整车完工或预计到达代替工序实际事件；机加工按后续范围接入。</w:t>
            </w:r>
          </w:p>
        </w:tc>
        <w:tc>
          <w:tcPr>
            <w:tcW w:w="1440" w:type="dxa"/>
            <w:vAlign w:val="center"/>
          </w:tcPr>
          <w:p w14:paraId="34D1C2E3">
            <w:pPr>
              <w:spacing w:before="40" w:after="40" w:line="280" w:lineRule="exact"/>
              <w:jc w:val="center"/>
            </w:pPr>
            <w:r>
              <w:rPr>
                <w:rFonts w:ascii="Arial Unicode MS" w:hAnsi="Arial Unicode MS" w:eastAsia="Arial Unicode MS"/>
                <w:b w:val="0"/>
                <w:color w:val="000000"/>
                <w:sz w:val="19"/>
              </w:rPr>
              <w:t>P0明确需求</w:t>
            </w:r>
          </w:p>
        </w:tc>
      </w:tr>
      <w:tr w14:paraId="66D51DB8">
        <w:trPr>
          <w:cantSplit/>
          <w:jc w:val="center"/>
        </w:trPr>
        <w:tc>
          <w:tcPr>
            <w:tcW w:w="1656" w:type="dxa"/>
            <w:shd w:val="clear" w:color="auto" w:fill="F1F5F8"/>
            <w:vAlign w:val="center"/>
          </w:tcPr>
          <w:p w14:paraId="00810E51">
            <w:pPr>
              <w:spacing w:before="40" w:after="40" w:line="280" w:lineRule="exact"/>
            </w:pPr>
            <w:r>
              <w:rPr>
                <w:rFonts w:ascii="Arial Unicode MS" w:hAnsi="Arial Unicode MS" w:eastAsia="Arial Unicode MS"/>
                <w:b w:val="0"/>
                <w:color w:val="000000"/>
                <w:sz w:val="19"/>
              </w:rPr>
              <w:t>F24现场异常与受影响对象控制</w:t>
            </w:r>
          </w:p>
        </w:tc>
        <w:tc>
          <w:tcPr>
            <w:tcW w:w="3816" w:type="dxa"/>
            <w:shd w:val="clear" w:color="auto" w:fill="F1F5F8"/>
            <w:vAlign w:val="center"/>
          </w:tcPr>
          <w:p w14:paraId="4F41B92B">
            <w:pPr>
              <w:spacing w:before="40" w:after="40" w:line="280" w:lineRule="exact"/>
            </w:pPr>
            <w:r>
              <w:rPr>
                <w:rFonts w:ascii="Arial Unicode MS" w:hAnsi="Arial Unicode MS" w:eastAsia="Arial Unicode MS"/>
                <w:b w:val="0"/>
                <w:color w:val="000000"/>
                <w:sz w:val="19"/>
              </w:rPr>
              <w:t>准备 定义问题来源、现象、对象、首接责任和升级规则。正常 便捷记录附件、工单/SN/物料或载具，通知并保留承接，反复问题可汇总。</w:t>
            </w:r>
          </w:p>
        </w:tc>
        <w:tc>
          <w:tcPr>
            <w:tcW w:w="3384" w:type="dxa"/>
            <w:shd w:val="clear" w:color="auto" w:fill="F1F5F8"/>
            <w:vAlign w:val="center"/>
          </w:tcPr>
          <w:p w14:paraId="5C0D38C6">
            <w:pPr>
              <w:spacing w:before="40" w:after="40" w:line="280" w:lineRule="exact"/>
            </w:pPr>
            <w:r>
              <w:rPr>
                <w:rFonts w:ascii="Arial Unicode MS" w:hAnsi="Arial Unicode MS" w:eastAsia="Arial Unicode MS"/>
                <w:b w:val="0"/>
                <w:color w:val="000000"/>
                <w:sz w:val="19"/>
              </w:rPr>
              <w:t>技术原因与责任经分析认定；按风险控制受影响对象，其他任务可继续，通知送达不自动关闭。</w:t>
            </w:r>
          </w:p>
        </w:tc>
        <w:tc>
          <w:tcPr>
            <w:tcW w:w="3528" w:type="dxa"/>
            <w:shd w:val="clear" w:color="auto" w:fill="F1F5F8"/>
            <w:vAlign w:val="center"/>
          </w:tcPr>
          <w:p w14:paraId="609E301B">
            <w:pPr>
              <w:spacing w:before="40" w:after="40" w:line="280" w:lineRule="exact"/>
            </w:pPr>
            <w:r>
              <w:rPr>
                <w:rFonts w:ascii="Arial Unicode MS" w:hAnsi="Arial Unicode MS" w:eastAsia="Arial Unicode MS"/>
                <w:b w:val="0"/>
                <w:color w:val="000000"/>
                <w:sz w:val="19"/>
              </w:rPr>
              <w:t>复用飞书/ERP后续评审和处置，问题登记不自动冻结全部同料；F66复用同一问题身份。</w:t>
            </w:r>
          </w:p>
        </w:tc>
        <w:tc>
          <w:tcPr>
            <w:tcW w:w="1440" w:type="dxa"/>
            <w:shd w:val="clear" w:color="auto" w:fill="F1F5F8"/>
            <w:vAlign w:val="center"/>
          </w:tcPr>
          <w:p w14:paraId="415B5949">
            <w:pPr>
              <w:spacing w:before="40" w:after="40" w:line="280" w:lineRule="exact"/>
              <w:jc w:val="center"/>
            </w:pPr>
            <w:r>
              <w:rPr>
                <w:rFonts w:ascii="Arial Unicode MS" w:hAnsi="Arial Unicode MS" w:eastAsia="Arial Unicode MS"/>
                <w:b w:val="0"/>
                <w:color w:val="000000"/>
                <w:sz w:val="19"/>
              </w:rPr>
              <w:t>P0明确需求</w:t>
            </w:r>
          </w:p>
        </w:tc>
      </w:tr>
      <w:tr w14:paraId="41304A4F">
        <w:trPr>
          <w:cantSplit/>
          <w:jc w:val="center"/>
        </w:trPr>
        <w:tc>
          <w:tcPr>
            <w:tcW w:w="1656" w:type="dxa"/>
            <w:vAlign w:val="center"/>
          </w:tcPr>
          <w:p w14:paraId="099C3B46">
            <w:pPr>
              <w:spacing w:before="40" w:after="40" w:line="280" w:lineRule="exact"/>
            </w:pPr>
            <w:r>
              <w:rPr>
                <w:rFonts w:ascii="Arial Unicode MS" w:hAnsi="Arial Unicode MS" w:eastAsia="Arial Unicode MS"/>
                <w:b w:val="0"/>
                <w:color w:val="000000"/>
                <w:sz w:val="19"/>
              </w:rPr>
              <w:t>F60工序顺序及必要节点防漏</w:t>
            </w:r>
          </w:p>
        </w:tc>
        <w:tc>
          <w:tcPr>
            <w:tcW w:w="3816" w:type="dxa"/>
            <w:vAlign w:val="center"/>
          </w:tcPr>
          <w:p w14:paraId="3084E062">
            <w:pPr>
              <w:spacing w:before="40" w:after="40" w:line="280" w:lineRule="exact"/>
            </w:pPr>
            <w:r>
              <w:rPr>
                <w:rFonts w:ascii="Arial Unicode MS" w:hAnsi="Arial Unicode MS" w:eastAsia="Arial Unicode MS"/>
                <w:b w:val="0"/>
                <w:color w:val="000000"/>
                <w:sz w:val="19"/>
              </w:rPr>
              <w:t>准备 按关键装配/测试与工艺等待定义必要前置、起止及释放依据。正常 适用节点记录齐全、等待条件满足后交接。</w:t>
            </w:r>
          </w:p>
        </w:tc>
        <w:tc>
          <w:tcPr>
            <w:tcW w:w="3384" w:type="dxa"/>
            <w:vAlign w:val="center"/>
          </w:tcPr>
          <w:p w14:paraId="01F96A3A">
            <w:pPr>
              <w:spacing w:before="40" w:after="40" w:line="280" w:lineRule="exact"/>
            </w:pPr>
            <w:r>
              <w:rPr>
                <w:rFonts w:ascii="Arial Unicode MS" w:hAnsi="Arial Unicode MS" w:eastAsia="Arial Unicode MS"/>
                <w:b w:val="0"/>
                <w:color w:val="000000"/>
                <w:sz w:val="19"/>
              </w:rPr>
              <w:t>识别漏站、重复过站、提前流转、复测及获准替代固化路径，保留实际时间和授权。</w:t>
            </w:r>
          </w:p>
        </w:tc>
        <w:tc>
          <w:tcPr>
            <w:tcW w:w="3528" w:type="dxa"/>
            <w:vAlign w:val="center"/>
          </w:tcPr>
          <w:p w14:paraId="33798E4D">
            <w:pPr>
              <w:spacing w:before="40" w:after="40" w:line="280" w:lineRule="exact"/>
            </w:pPr>
            <w:r>
              <w:rPr>
                <w:rFonts w:ascii="Arial Unicode MS" w:hAnsi="Arial Unicode MS" w:eastAsia="Arial Unicode MS"/>
                <w:b w:val="0"/>
                <w:color w:val="000000"/>
                <w:sz w:val="19"/>
              </w:rPr>
              <w:t>时长及替代固化方法按工程批准条件配置；保留允许换序及产测控制边界。</w:t>
            </w:r>
          </w:p>
        </w:tc>
        <w:tc>
          <w:tcPr>
            <w:tcW w:w="1440" w:type="dxa"/>
            <w:vAlign w:val="center"/>
          </w:tcPr>
          <w:p w14:paraId="3AAFD96C">
            <w:pPr>
              <w:spacing w:before="40" w:after="40" w:line="280" w:lineRule="exact"/>
              <w:jc w:val="center"/>
            </w:pPr>
            <w:r>
              <w:rPr>
                <w:rFonts w:ascii="Arial Unicode MS" w:hAnsi="Arial Unicode MS" w:eastAsia="Arial Unicode MS"/>
                <w:b w:val="0"/>
                <w:color w:val="000000"/>
                <w:sz w:val="19"/>
              </w:rPr>
              <w:t>P0专家建议</w:t>
            </w:r>
          </w:p>
        </w:tc>
      </w:tr>
    </w:tbl>
    <w:p w14:paraId="1F1D8EB7">
      <w:pPr>
        <w:pStyle w:val="5"/>
      </w:pPr>
      <w:r>
        <w:rPr>
          <w:rFonts w:ascii="Arial Unicode MS" w:hAnsi="Arial Unicode MS" w:eastAsia="Arial Unicode MS"/>
          <w:color w:val="000000"/>
        </w:rPr>
        <w:t>M04 厂内物料执行</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317B54BD">
        <w:trPr>
          <w:cantSplit/>
          <w:tblHeader/>
          <w:jc w:val="center"/>
        </w:trPr>
        <w:tc>
          <w:tcPr>
            <w:tcW w:w="1656" w:type="dxa"/>
            <w:shd w:val="clear" w:color="auto" w:fill="234A68"/>
            <w:vAlign w:val="center"/>
          </w:tcPr>
          <w:p w14:paraId="1D1CA74E">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663A917C">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1BE08474">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1014E1B0">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5CCC65BD">
            <w:pPr>
              <w:keepNext/>
              <w:spacing w:before="40" w:after="40" w:line="280" w:lineRule="exact"/>
              <w:jc w:val="center"/>
            </w:pPr>
            <w:r>
              <w:rPr>
                <w:rFonts w:ascii="Arial Unicode MS" w:hAnsi="Arial Unicode MS" w:eastAsia="Arial Unicode MS"/>
                <w:b/>
                <w:color w:val="FFFFFF"/>
                <w:sz w:val="19"/>
              </w:rPr>
              <w:t>优先级与依据</w:t>
            </w:r>
          </w:p>
        </w:tc>
      </w:tr>
      <w:tr w14:paraId="4C37DA42">
        <w:trPr>
          <w:cantSplit/>
          <w:jc w:val="center"/>
        </w:trPr>
        <w:tc>
          <w:tcPr>
            <w:tcW w:w="1656" w:type="dxa"/>
            <w:vAlign w:val="center"/>
          </w:tcPr>
          <w:p w14:paraId="60920E15">
            <w:pPr>
              <w:spacing w:before="40" w:after="40" w:line="280" w:lineRule="exact"/>
            </w:pPr>
            <w:r>
              <w:rPr>
                <w:rFonts w:ascii="Arial Unicode MS" w:hAnsi="Arial Unicode MS" w:eastAsia="Arial Unicode MS"/>
                <w:b w:val="0"/>
                <w:color w:val="000000"/>
                <w:sz w:val="19"/>
              </w:rPr>
              <w:t>F10客户制造与包装配置执行</w:t>
            </w:r>
          </w:p>
        </w:tc>
        <w:tc>
          <w:tcPr>
            <w:tcW w:w="3816" w:type="dxa"/>
            <w:vAlign w:val="center"/>
          </w:tcPr>
          <w:p w14:paraId="30D85476">
            <w:pPr>
              <w:spacing w:before="40" w:after="40" w:line="280" w:lineRule="exact"/>
            </w:pPr>
            <w:r>
              <w:rPr>
                <w:rFonts w:ascii="Arial Unicode MS" w:hAnsi="Arial Unicode MS" w:eastAsia="Arial Unicode MS"/>
                <w:b w:val="0"/>
                <w:color w:val="000000"/>
                <w:sz w:val="19"/>
              </w:rPr>
              <w:t>准备 将不含电池、中英文资料、指定标签/送货单等要求转为任务适用配置。正常 按配置校验实际领退用料、包装内容、报告及标签。</w:t>
            </w:r>
          </w:p>
        </w:tc>
        <w:tc>
          <w:tcPr>
            <w:tcW w:w="3384" w:type="dxa"/>
            <w:vAlign w:val="center"/>
          </w:tcPr>
          <w:p w14:paraId="33FE7AD6">
            <w:pPr>
              <w:spacing w:before="40" w:after="40" w:line="280" w:lineRule="exact"/>
            </w:pPr>
            <w:r>
              <w:rPr>
                <w:rFonts w:ascii="Arial Unicode MS" w:hAnsi="Arial Unicode MS" w:eastAsia="Arial Unicode MS"/>
                <w:b w:val="0"/>
                <w:color w:val="000000"/>
                <w:sz w:val="19"/>
              </w:rPr>
              <w:t>配置变化时识别已领、在制或已包装对象，按授权补领/退料/重打并保留履历。</w:t>
            </w:r>
          </w:p>
        </w:tc>
        <w:tc>
          <w:tcPr>
            <w:tcW w:w="3528" w:type="dxa"/>
            <w:vAlign w:val="center"/>
          </w:tcPr>
          <w:p w14:paraId="5751B8CB">
            <w:pPr>
              <w:spacing w:before="40" w:after="40" w:line="280" w:lineRule="exact"/>
            </w:pPr>
            <w:r>
              <w:rPr>
                <w:rFonts w:ascii="Arial Unicode MS" w:hAnsi="Arial Unicode MS" w:eastAsia="Arial Unicode MS"/>
                <w:b w:val="0"/>
                <w:color w:val="000000"/>
                <w:sz w:val="19"/>
              </w:rPr>
              <w:t>客户商业约定由ERP及AR1发布；MES执行适用指令。</w:t>
            </w:r>
          </w:p>
        </w:tc>
        <w:tc>
          <w:tcPr>
            <w:tcW w:w="1440" w:type="dxa"/>
            <w:vAlign w:val="center"/>
          </w:tcPr>
          <w:p w14:paraId="19530B8E">
            <w:pPr>
              <w:spacing w:before="40" w:after="40" w:line="280" w:lineRule="exact"/>
              <w:jc w:val="center"/>
            </w:pPr>
            <w:r>
              <w:rPr>
                <w:rFonts w:ascii="Arial Unicode MS" w:hAnsi="Arial Unicode MS" w:eastAsia="Arial Unicode MS"/>
                <w:b w:val="0"/>
                <w:color w:val="000000"/>
                <w:sz w:val="19"/>
              </w:rPr>
              <w:t>P0明确需求</w:t>
            </w:r>
          </w:p>
        </w:tc>
      </w:tr>
      <w:tr w14:paraId="4CC79698">
        <w:trPr>
          <w:cantSplit/>
          <w:jc w:val="center"/>
        </w:trPr>
        <w:tc>
          <w:tcPr>
            <w:tcW w:w="1656" w:type="dxa"/>
            <w:shd w:val="clear" w:color="auto" w:fill="F1F5F8"/>
            <w:vAlign w:val="center"/>
          </w:tcPr>
          <w:p w14:paraId="07D67211">
            <w:pPr>
              <w:spacing w:before="40" w:after="40" w:line="280" w:lineRule="exact"/>
            </w:pPr>
            <w:r>
              <w:rPr>
                <w:rFonts w:ascii="Arial Unicode MS" w:hAnsi="Arial Unicode MS" w:eastAsia="Arial Unicode MS"/>
                <w:b w:val="0"/>
                <w:color w:val="000000"/>
                <w:sz w:val="19"/>
              </w:rPr>
              <w:t>F27领退补料与实际投入</w:t>
            </w:r>
          </w:p>
        </w:tc>
        <w:tc>
          <w:tcPr>
            <w:tcW w:w="3816" w:type="dxa"/>
            <w:shd w:val="clear" w:color="auto" w:fill="F1F5F8"/>
            <w:vAlign w:val="center"/>
          </w:tcPr>
          <w:p w14:paraId="532643E2">
            <w:pPr>
              <w:spacing w:before="40" w:after="40" w:line="280" w:lineRule="exact"/>
            </w:pPr>
            <w:r>
              <w:rPr>
                <w:rFonts w:ascii="Arial Unicode MS" w:hAnsi="Arial Unicode MS" w:eastAsia="Arial Unicode MS"/>
                <w:b w:val="0"/>
                <w:color w:val="000000"/>
                <w:sz w:val="19"/>
              </w:rPr>
              <w:t>准备 取得ERP可用、待检、预留及单据状态。正常 补领或开工前显示短缺，记录实际领退补、替代及关键投入，与ERP对账。</w:t>
            </w:r>
          </w:p>
        </w:tc>
        <w:tc>
          <w:tcPr>
            <w:tcW w:w="3384" w:type="dxa"/>
            <w:shd w:val="clear" w:color="auto" w:fill="F1F5F8"/>
            <w:vAlign w:val="center"/>
          </w:tcPr>
          <w:p w14:paraId="3C5D6F6B">
            <w:pPr>
              <w:spacing w:before="40" w:after="40" w:line="280" w:lineRule="exact"/>
            </w:pPr>
            <w:r>
              <w:rPr>
                <w:rFonts w:ascii="Arial Unicode MS" w:hAnsi="Arial Unicode MS" w:eastAsia="Arial Unicode MS"/>
                <w:b w:val="0"/>
                <w:color w:val="000000"/>
                <w:sz w:val="19"/>
              </w:rPr>
              <w:t>短缺、预留变化、账实差及接口失败明确提示；保留原因与授权，不重复扣账。</w:t>
            </w:r>
          </w:p>
        </w:tc>
        <w:tc>
          <w:tcPr>
            <w:tcW w:w="3528" w:type="dxa"/>
            <w:shd w:val="clear" w:color="auto" w:fill="F1F5F8"/>
            <w:vAlign w:val="center"/>
          </w:tcPr>
          <w:p w14:paraId="4A1EE131">
            <w:pPr>
              <w:spacing w:before="40" w:after="40" w:line="280" w:lineRule="exact"/>
            </w:pPr>
            <w:r>
              <w:rPr>
                <w:rFonts w:ascii="Arial Unicode MS" w:hAnsi="Arial Unicode MS" w:eastAsia="Arial Unicode MS"/>
                <w:b w:val="0"/>
                <w:color w:val="000000"/>
                <w:sz w:val="19"/>
              </w:rPr>
              <w:t>ERP库存校验及预留规则由主责核定；制单不等于实物可用，MES不另建权威库存账。</w:t>
            </w:r>
          </w:p>
        </w:tc>
        <w:tc>
          <w:tcPr>
            <w:tcW w:w="1440" w:type="dxa"/>
            <w:shd w:val="clear" w:color="auto" w:fill="F1F5F8"/>
            <w:vAlign w:val="center"/>
          </w:tcPr>
          <w:p w14:paraId="78211327">
            <w:pPr>
              <w:spacing w:before="40" w:after="40" w:line="280" w:lineRule="exact"/>
              <w:jc w:val="center"/>
            </w:pPr>
            <w:r>
              <w:rPr>
                <w:rFonts w:ascii="Arial Unicode MS" w:hAnsi="Arial Unicode MS" w:eastAsia="Arial Unicode MS"/>
                <w:b w:val="0"/>
                <w:color w:val="000000"/>
                <w:sz w:val="19"/>
              </w:rPr>
              <w:t>P0明确需求</w:t>
            </w:r>
          </w:p>
        </w:tc>
      </w:tr>
      <w:tr w14:paraId="4A8722BA">
        <w:trPr>
          <w:cantSplit/>
          <w:jc w:val="center"/>
        </w:trPr>
        <w:tc>
          <w:tcPr>
            <w:tcW w:w="1656" w:type="dxa"/>
            <w:vAlign w:val="center"/>
          </w:tcPr>
          <w:p w14:paraId="788DCDFE">
            <w:pPr>
              <w:spacing w:before="40" w:after="40" w:line="280" w:lineRule="exact"/>
            </w:pPr>
            <w:r>
              <w:rPr>
                <w:rFonts w:ascii="Arial Unicode MS" w:hAnsi="Arial Unicode MS" w:eastAsia="Arial Unicode MS"/>
                <w:b w:val="0"/>
                <w:color w:val="000000"/>
                <w:sz w:val="19"/>
              </w:rPr>
              <w:t>F28特殊包装、计数及用量</w:t>
            </w:r>
          </w:p>
        </w:tc>
        <w:tc>
          <w:tcPr>
            <w:tcW w:w="3816" w:type="dxa"/>
            <w:vAlign w:val="center"/>
          </w:tcPr>
          <w:p w14:paraId="20EFD214">
            <w:pPr>
              <w:spacing w:before="40" w:after="40" w:line="280" w:lineRule="exact"/>
            </w:pPr>
            <w:r>
              <w:rPr>
                <w:rFonts w:ascii="Arial Unicode MS" w:hAnsi="Arial Unicode MS" w:eastAsia="Arial Unicode MS"/>
                <w:b w:val="0"/>
                <w:color w:val="000000"/>
                <w:sz w:val="19"/>
              </w:rPr>
              <w:t>准备 维护采购/库存/使用单位、包装倍数、称重计数或裁剪依据。正常 分别记录整包/盘/瓶发放、实际消耗与剩余，适用螺钉、电子料、线材和胶水等场景。</w:t>
            </w:r>
          </w:p>
        </w:tc>
        <w:tc>
          <w:tcPr>
            <w:tcW w:w="3384" w:type="dxa"/>
            <w:vAlign w:val="center"/>
          </w:tcPr>
          <w:p w14:paraId="11D28678">
            <w:pPr>
              <w:spacing w:before="40" w:after="40" w:line="280" w:lineRule="exact"/>
            </w:pPr>
            <w:r>
              <w:rPr>
                <w:rFonts w:ascii="Arial Unicode MS" w:hAnsi="Arial Unicode MS" w:eastAsia="Arial Unicode MS"/>
                <w:b w:val="0"/>
                <w:color w:val="000000"/>
                <w:sz w:val="19"/>
              </w:rPr>
              <w:t>尾料、称重差、裁剪损耗及换算变化有可核查处理，不用简单移出BOM代替规则。</w:t>
            </w:r>
          </w:p>
        </w:tc>
        <w:tc>
          <w:tcPr>
            <w:tcW w:w="3528" w:type="dxa"/>
            <w:vAlign w:val="center"/>
          </w:tcPr>
          <w:p w14:paraId="5E47979A">
            <w:pPr>
              <w:spacing w:before="40" w:after="40" w:line="280" w:lineRule="exact"/>
            </w:pPr>
            <w:r>
              <w:rPr>
                <w:rFonts w:ascii="Arial Unicode MS" w:hAnsi="Arial Unicode MS" w:eastAsia="Arial Unicode MS"/>
                <w:b w:val="0"/>
                <w:color w:val="000000"/>
                <w:sz w:val="19"/>
              </w:rPr>
              <w:t>采购计价、成本换算及ERP扣账规则由对应主责批准；MES执行批准单位与实际量。</w:t>
            </w:r>
          </w:p>
        </w:tc>
        <w:tc>
          <w:tcPr>
            <w:tcW w:w="1440" w:type="dxa"/>
            <w:vAlign w:val="center"/>
          </w:tcPr>
          <w:p w14:paraId="16B18D12">
            <w:pPr>
              <w:spacing w:before="40" w:after="40" w:line="280" w:lineRule="exact"/>
              <w:jc w:val="center"/>
            </w:pPr>
            <w:r>
              <w:rPr>
                <w:rFonts w:ascii="Arial Unicode MS" w:hAnsi="Arial Unicode MS" w:eastAsia="Arial Unicode MS"/>
                <w:b w:val="0"/>
                <w:color w:val="000000"/>
                <w:sz w:val="19"/>
              </w:rPr>
              <w:t>P0明确需求</w:t>
            </w:r>
          </w:p>
        </w:tc>
      </w:tr>
      <w:tr w14:paraId="66DEE35B">
        <w:trPr>
          <w:cantSplit/>
          <w:jc w:val="center"/>
        </w:trPr>
        <w:tc>
          <w:tcPr>
            <w:tcW w:w="1656" w:type="dxa"/>
            <w:shd w:val="clear" w:color="auto" w:fill="F1F5F8"/>
            <w:vAlign w:val="center"/>
          </w:tcPr>
          <w:p w14:paraId="2E23C8A8">
            <w:pPr>
              <w:spacing w:before="40" w:after="40" w:line="280" w:lineRule="exact"/>
            </w:pPr>
            <w:r>
              <w:rPr>
                <w:rFonts w:ascii="Arial Unicode MS" w:hAnsi="Arial Unicode MS" w:eastAsia="Arial Unicode MS"/>
                <w:b w:val="0"/>
                <w:color w:val="000000"/>
                <w:sz w:val="19"/>
              </w:rPr>
              <w:t>F29备品及客户不含电池的实物控制</w:t>
            </w:r>
          </w:p>
        </w:tc>
        <w:tc>
          <w:tcPr>
            <w:tcW w:w="3816" w:type="dxa"/>
            <w:shd w:val="clear" w:color="auto" w:fill="F1F5F8"/>
            <w:vAlign w:val="center"/>
          </w:tcPr>
          <w:p w14:paraId="309A3115">
            <w:pPr>
              <w:spacing w:before="40" w:after="40" w:line="280" w:lineRule="exact"/>
            </w:pPr>
            <w:r>
              <w:rPr>
                <w:rFonts w:ascii="Arial Unicode MS" w:hAnsi="Arial Unicode MS" w:eastAsia="Arial Unicode MS"/>
                <w:b w:val="0"/>
                <w:color w:val="000000"/>
                <w:sz w:val="19"/>
              </w:rPr>
              <w:t>准备 取得批准的备品标识、所有权及客户配置规则。正常 实际领退和装配配置一致，备品实物能定位且不混同正常可用量。</w:t>
            </w:r>
          </w:p>
        </w:tc>
        <w:tc>
          <w:tcPr>
            <w:tcW w:w="3384" w:type="dxa"/>
            <w:shd w:val="clear" w:color="auto" w:fill="F1F5F8"/>
            <w:vAlign w:val="center"/>
          </w:tcPr>
          <w:p w14:paraId="57C4CBED">
            <w:pPr>
              <w:spacing w:before="40" w:after="40" w:line="280" w:lineRule="exact"/>
            </w:pPr>
            <w:r>
              <w:rPr>
                <w:rFonts w:ascii="Arial Unicode MS" w:hAnsi="Arial Unicode MS" w:eastAsia="Arial Unicode MS"/>
                <w:b w:val="0"/>
                <w:color w:val="000000"/>
                <w:sz w:val="19"/>
              </w:rPr>
              <w:t>不含电池时记录未领/退回等实际动作，避免仅改包装备注而不处理实物。</w:t>
            </w:r>
          </w:p>
        </w:tc>
        <w:tc>
          <w:tcPr>
            <w:tcW w:w="3528" w:type="dxa"/>
            <w:shd w:val="clear" w:color="auto" w:fill="F1F5F8"/>
            <w:vAlign w:val="center"/>
          </w:tcPr>
          <w:p w14:paraId="52323E2B">
            <w:pPr>
              <w:spacing w:before="40" w:after="40" w:line="280" w:lineRule="exact"/>
            </w:pPr>
            <w:r>
              <w:rPr>
                <w:rFonts w:ascii="Arial Unicode MS" w:hAnsi="Arial Unicode MS" w:eastAsia="Arial Unicode MS"/>
                <w:b w:val="0"/>
                <w:color w:val="000000"/>
                <w:sz w:val="19"/>
              </w:rPr>
              <w:t>备品计价、会计确认、采购补单及调账在ERP处理，具体规则不由MES自行决定。</w:t>
            </w:r>
          </w:p>
        </w:tc>
        <w:tc>
          <w:tcPr>
            <w:tcW w:w="1440" w:type="dxa"/>
            <w:shd w:val="clear" w:color="auto" w:fill="F1F5F8"/>
            <w:vAlign w:val="center"/>
          </w:tcPr>
          <w:p w14:paraId="536A4889">
            <w:pPr>
              <w:spacing w:before="40" w:after="40" w:line="280" w:lineRule="exact"/>
              <w:jc w:val="center"/>
            </w:pPr>
            <w:r>
              <w:rPr>
                <w:rFonts w:ascii="Arial Unicode MS" w:hAnsi="Arial Unicode MS" w:eastAsia="Arial Unicode MS"/>
                <w:b w:val="0"/>
                <w:color w:val="000000"/>
                <w:sz w:val="19"/>
              </w:rPr>
              <w:t>P0专家建议</w:t>
            </w:r>
          </w:p>
        </w:tc>
      </w:tr>
      <w:tr w14:paraId="4B03217E">
        <w:trPr>
          <w:cantSplit/>
          <w:jc w:val="center"/>
        </w:trPr>
        <w:tc>
          <w:tcPr>
            <w:tcW w:w="1656" w:type="dxa"/>
            <w:vAlign w:val="center"/>
          </w:tcPr>
          <w:p w14:paraId="555B1E21">
            <w:pPr>
              <w:spacing w:before="40" w:after="40" w:line="280" w:lineRule="exact"/>
            </w:pPr>
            <w:r>
              <w:rPr>
                <w:rFonts w:ascii="Arial Unicode MS" w:hAnsi="Arial Unicode MS" w:eastAsia="Arial Unicode MS"/>
                <w:b w:val="0"/>
                <w:color w:val="000000"/>
                <w:sz w:val="19"/>
              </w:rPr>
              <w:t>F31关键料身份、FIFO与效期提示</w:t>
            </w:r>
          </w:p>
        </w:tc>
        <w:tc>
          <w:tcPr>
            <w:tcW w:w="3816" w:type="dxa"/>
            <w:vAlign w:val="center"/>
          </w:tcPr>
          <w:p w14:paraId="44C6AB28">
            <w:pPr>
              <w:spacing w:before="40" w:after="40" w:line="280" w:lineRule="exact"/>
            </w:pPr>
            <w:r>
              <w:rPr>
                <w:rFonts w:ascii="Arial Unicode MS" w:hAnsi="Arial Unicode MS" w:eastAsia="Arial Unicode MS"/>
                <w:b w:val="0"/>
                <w:color w:val="000000"/>
                <w:sz w:val="19"/>
              </w:rPr>
              <w:t>准备 确定关键料身份、供应商批次、内部接收标识与效期规则。正常 拆包、转小车、移位、尾料和投入保留来源映射，按批准FIFO和效期规则选料。</w:t>
            </w:r>
          </w:p>
        </w:tc>
        <w:tc>
          <w:tcPr>
            <w:tcW w:w="3384" w:type="dxa"/>
            <w:vAlign w:val="center"/>
          </w:tcPr>
          <w:p w14:paraId="6C471575">
            <w:pPr>
              <w:spacing w:before="40" w:after="40" w:line="280" w:lineRule="exact"/>
            </w:pPr>
            <w:r>
              <w:rPr>
                <w:rFonts w:ascii="Arial Unicode MS" w:hAnsi="Arial Unicode MS" w:eastAsia="Arial Unicode MS"/>
                <w:b w:val="0"/>
                <w:color w:val="000000"/>
                <w:sz w:val="19"/>
              </w:rPr>
              <w:t>隔离、追溯缺项、混批和例外选料受控；内部编号不能无依据替代原供应商制造批次。</w:t>
            </w:r>
          </w:p>
        </w:tc>
        <w:tc>
          <w:tcPr>
            <w:tcW w:w="3528" w:type="dxa"/>
            <w:vAlign w:val="center"/>
          </w:tcPr>
          <w:p w14:paraId="63818EDD">
            <w:pPr>
              <w:spacing w:before="40" w:after="40" w:line="280" w:lineRule="exact"/>
            </w:pPr>
            <w:r>
              <w:rPr>
                <w:rFonts w:ascii="Arial Unicode MS" w:hAnsi="Arial Unicode MS" w:eastAsia="Arial Unicode MS"/>
                <w:b w:val="0"/>
                <w:color w:val="000000"/>
                <w:sz w:val="19"/>
              </w:rPr>
              <w:t>ERP维护库存账务和批次基础，MES按获准的关键料及效期规则执行。</w:t>
            </w:r>
          </w:p>
        </w:tc>
        <w:tc>
          <w:tcPr>
            <w:tcW w:w="1440" w:type="dxa"/>
            <w:vAlign w:val="center"/>
          </w:tcPr>
          <w:p w14:paraId="19DB0DAD">
            <w:pPr>
              <w:spacing w:before="40" w:after="40" w:line="280" w:lineRule="exact"/>
              <w:jc w:val="center"/>
            </w:pPr>
            <w:r>
              <w:rPr>
                <w:rFonts w:ascii="Arial Unicode MS" w:hAnsi="Arial Unicode MS" w:eastAsia="Arial Unicode MS"/>
                <w:b w:val="0"/>
                <w:color w:val="000000"/>
                <w:sz w:val="19"/>
              </w:rPr>
              <w:t>P0专家建议</w:t>
            </w:r>
          </w:p>
        </w:tc>
      </w:tr>
    </w:tbl>
    <w:p w14:paraId="662D3F45">
      <w:pPr>
        <w:pStyle w:val="5"/>
      </w:pPr>
      <w:r>
        <w:rPr>
          <w:rFonts w:ascii="Arial Unicode MS" w:hAnsi="Arial Unicode MS" w:eastAsia="Arial Unicode MS"/>
          <w:color w:val="000000"/>
        </w:rPr>
        <w:t>M05 仓储物流与实物交接</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2DC81794">
        <w:trPr>
          <w:cantSplit/>
          <w:tblHeader/>
          <w:jc w:val="center"/>
        </w:trPr>
        <w:tc>
          <w:tcPr>
            <w:tcW w:w="1656" w:type="dxa"/>
            <w:shd w:val="clear" w:color="auto" w:fill="234A68"/>
            <w:vAlign w:val="center"/>
          </w:tcPr>
          <w:p w14:paraId="3E98A59C">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71C4F3F1">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5DF4634A">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3B5EC8D6">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7A2CAA4F">
            <w:pPr>
              <w:keepNext/>
              <w:spacing w:before="40" w:after="40" w:line="280" w:lineRule="exact"/>
              <w:jc w:val="center"/>
            </w:pPr>
            <w:r>
              <w:rPr>
                <w:rFonts w:ascii="Arial Unicode MS" w:hAnsi="Arial Unicode MS" w:eastAsia="Arial Unicode MS"/>
                <w:b/>
                <w:color w:val="FFFFFF"/>
                <w:sz w:val="19"/>
              </w:rPr>
              <w:t>优先级与依据</w:t>
            </w:r>
          </w:p>
        </w:tc>
      </w:tr>
      <w:tr w14:paraId="40E08303">
        <w:trPr>
          <w:cantSplit/>
          <w:jc w:val="center"/>
        </w:trPr>
        <w:tc>
          <w:tcPr>
            <w:tcW w:w="1656" w:type="dxa"/>
            <w:vAlign w:val="center"/>
          </w:tcPr>
          <w:p w14:paraId="036A2CE5">
            <w:pPr>
              <w:spacing w:before="40" w:after="40" w:line="280" w:lineRule="exact"/>
            </w:pPr>
            <w:r>
              <w:rPr>
                <w:rFonts w:ascii="Arial Unicode MS" w:hAnsi="Arial Unicode MS" w:eastAsia="Arial Unicode MS"/>
                <w:b w:val="0"/>
                <w:color w:val="000000"/>
                <w:sz w:val="19"/>
              </w:rPr>
              <w:t>F12</w:t>
            </w:r>
            <w:r>
              <w:br w:type="textWrapping"/>
            </w:r>
            <w:r>
              <w:rPr>
                <w:rFonts w:ascii="Arial Unicode MS" w:hAnsi="Arial Unicode MS" w:eastAsia="Arial Unicode MS"/>
                <w:b w:val="0"/>
                <w:color w:val="000000"/>
                <w:sz w:val="19"/>
              </w:rPr>
              <w:t>制造与交付相关状态查询</w:t>
            </w:r>
          </w:p>
        </w:tc>
        <w:tc>
          <w:tcPr>
            <w:tcW w:w="3816" w:type="dxa"/>
            <w:vAlign w:val="center"/>
          </w:tcPr>
          <w:p w14:paraId="06F6E267">
            <w:pPr>
              <w:spacing w:before="40" w:after="40" w:line="280" w:lineRule="exact"/>
            </w:pPr>
            <w:r>
              <w:rPr>
                <w:rFonts w:ascii="Arial Unicode MS" w:hAnsi="Arial Unicode MS" w:eastAsia="Arial Unicode MS"/>
                <w:color w:val="000000"/>
              </w:rPr>
              <w:t>准备 统一订单关联、工单、包装、收库及发运事件的标识。</w:t>
            </w:r>
            <w:r>
              <w:rPr>
                <w:rFonts w:ascii="Arial Unicode MS" w:hAnsi="Arial Unicode MS" w:eastAsia="Arial Unicode MS"/>
                <w:color w:val="000000"/>
              </w:rPr>
              <w:br w:type="textWrapping"/>
            </w:r>
            <w:r>
              <w:rPr>
                <w:rFonts w:ascii="Arial Unicode MS" w:hAnsi="Arial Unicode MS" w:eastAsia="Arial Unicode MS"/>
                <w:color w:val="000000"/>
              </w:rPr>
              <w:t>正常 向AR56、AR51、AR53提供一致的制造进度和可交接状态，可关联ERP发运及物流单号。</w:t>
            </w:r>
          </w:p>
        </w:tc>
        <w:tc>
          <w:tcPr>
            <w:tcW w:w="3384" w:type="dxa"/>
            <w:vAlign w:val="center"/>
          </w:tcPr>
          <w:p w14:paraId="3FCDE439">
            <w:pPr>
              <w:spacing w:before="40" w:after="40" w:line="280" w:lineRule="exact"/>
            </w:pPr>
            <w:r>
              <w:rPr>
                <w:rFonts w:ascii="Arial Unicode MS" w:hAnsi="Arial Unicode MS" w:eastAsia="Arial Unicode MS"/>
                <w:b w:val="0"/>
                <w:color w:val="000000"/>
                <w:sz w:val="19"/>
              </w:rPr>
              <w:t>缺数、取消、未完成包装等状态明确，不把过账视为实物已交运。</w:t>
            </w:r>
          </w:p>
        </w:tc>
        <w:tc>
          <w:tcPr>
            <w:tcW w:w="3528" w:type="dxa"/>
            <w:vAlign w:val="center"/>
          </w:tcPr>
          <w:p w14:paraId="5886C4D7">
            <w:pPr>
              <w:spacing w:before="40" w:after="40" w:line="280" w:lineRule="exact"/>
            </w:pPr>
            <w:r>
              <w:rPr>
                <w:rFonts w:ascii="Arial Unicode MS" w:hAnsi="Arial Unicode MS" w:eastAsia="Arial Unicode MS"/>
                <w:b w:val="0"/>
                <w:color w:val="000000"/>
                <w:sz w:val="19"/>
              </w:rPr>
              <w:t>商业履约承诺和第三方物流跟踪由对应系统负责；MES提供制造事件。</w:t>
            </w:r>
          </w:p>
        </w:tc>
        <w:tc>
          <w:tcPr>
            <w:tcW w:w="1440" w:type="dxa"/>
            <w:vAlign w:val="center"/>
          </w:tcPr>
          <w:p w14:paraId="053A7768">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专家建议</w:t>
            </w:r>
          </w:p>
        </w:tc>
      </w:tr>
      <w:tr w14:paraId="10F3871D">
        <w:trPr>
          <w:cantSplit/>
          <w:jc w:val="center"/>
        </w:trPr>
        <w:tc>
          <w:tcPr>
            <w:tcW w:w="1656" w:type="dxa"/>
            <w:shd w:val="clear" w:color="auto" w:fill="F1F5F8"/>
            <w:vAlign w:val="center"/>
          </w:tcPr>
          <w:p w14:paraId="586E89CC">
            <w:pPr>
              <w:spacing w:before="40" w:after="40" w:line="280" w:lineRule="exact"/>
            </w:pPr>
            <w:r>
              <w:rPr>
                <w:rFonts w:ascii="Arial Unicode MS" w:hAnsi="Arial Unicode MS" w:eastAsia="Arial Unicode MS"/>
                <w:b w:val="0"/>
                <w:color w:val="000000"/>
                <w:sz w:val="19"/>
              </w:rPr>
              <w:t>F26</w:t>
            </w:r>
            <w:r>
              <w:br w:type="textWrapping"/>
            </w:r>
            <w:r>
              <w:rPr>
                <w:rFonts w:ascii="Arial Unicode MS" w:hAnsi="Arial Unicode MS" w:eastAsia="Arial Unicode MS"/>
                <w:b w:val="0"/>
                <w:color w:val="000000"/>
                <w:sz w:val="19"/>
              </w:rPr>
              <w:t>收料与生产物料准备信息共享</w:t>
            </w:r>
          </w:p>
        </w:tc>
        <w:tc>
          <w:tcPr>
            <w:tcW w:w="3816" w:type="dxa"/>
            <w:shd w:val="clear" w:color="auto" w:fill="F1F5F8"/>
            <w:vAlign w:val="center"/>
          </w:tcPr>
          <w:p w14:paraId="435A478A">
            <w:pPr>
              <w:spacing w:before="40" w:after="40" w:line="280" w:lineRule="exact"/>
            </w:pPr>
            <w:r>
              <w:rPr>
                <w:rFonts w:ascii="Arial Unicode MS" w:hAnsi="Arial Unicode MS" w:eastAsia="Arial Unicode MS"/>
                <w:b w:val="0"/>
                <w:color w:val="000000"/>
                <w:sz w:val="19"/>
              </w:rPr>
              <w:t>准备 约定ERP到货/检验结果、生产需求和可用状态的共享字段。</w:t>
            </w:r>
            <w:r>
              <w:br w:type="textWrapping"/>
            </w:r>
            <w:r>
              <w:rPr>
                <w:rFonts w:ascii="Arial Unicode MS" w:hAnsi="Arial Unicode MS" w:eastAsia="Arial Unicode MS"/>
                <w:b w:val="0"/>
                <w:color w:val="000000"/>
                <w:sz w:val="19"/>
              </w:rPr>
              <w:t>正常 仓储查看预计到货及生产准备需求，现场可知批准物料是否可用。</w:t>
            </w:r>
          </w:p>
        </w:tc>
        <w:tc>
          <w:tcPr>
            <w:tcW w:w="3384" w:type="dxa"/>
            <w:shd w:val="clear" w:color="auto" w:fill="F1F5F8"/>
            <w:vAlign w:val="center"/>
          </w:tcPr>
          <w:p w14:paraId="3D49AFF9">
            <w:pPr>
              <w:spacing w:before="40" w:after="40" w:line="280" w:lineRule="exact"/>
            </w:pPr>
            <w:r>
              <w:rPr>
                <w:rFonts w:ascii="Arial Unicode MS" w:hAnsi="Arial Unicode MS" w:eastAsia="Arial Unicode MS"/>
                <w:b w:val="0"/>
                <w:color w:val="000000"/>
                <w:sz w:val="19"/>
              </w:rPr>
              <w:t>短缺、待检、不合格及实物尚未到位明确区分，不能把预计到货视为可发。</w:t>
            </w:r>
          </w:p>
        </w:tc>
        <w:tc>
          <w:tcPr>
            <w:tcW w:w="3528" w:type="dxa"/>
            <w:shd w:val="clear" w:color="auto" w:fill="F1F5F8"/>
            <w:vAlign w:val="center"/>
          </w:tcPr>
          <w:p w14:paraId="7678B558">
            <w:pPr>
              <w:spacing w:before="40" w:after="40" w:line="280" w:lineRule="exact"/>
            </w:pPr>
            <w:r>
              <w:rPr>
                <w:rFonts w:ascii="Arial Unicode MS" w:hAnsi="Arial Unicode MS" w:eastAsia="Arial Unicode MS"/>
                <w:b w:val="0"/>
                <w:color w:val="000000"/>
                <w:sz w:val="19"/>
              </w:rPr>
              <w:t>采购到货计划、收料通知单和采购入库仍在ERP；本项不开发采购计划。</w:t>
            </w:r>
          </w:p>
        </w:tc>
        <w:tc>
          <w:tcPr>
            <w:tcW w:w="1440" w:type="dxa"/>
            <w:shd w:val="clear" w:color="auto" w:fill="F1F5F8"/>
            <w:vAlign w:val="center"/>
          </w:tcPr>
          <w:p w14:paraId="697E8C7D">
            <w:pPr>
              <w:spacing w:before="40" w:after="40" w:line="280" w:lineRule="exact"/>
              <w:jc w:val="center"/>
            </w:pPr>
            <w:r>
              <w:rPr>
                <w:rFonts w:ascii="Arial Unicode MS" w:hAnsi="Arial Unicode MS" w:eastAsia="Arial Unicode MS"/>
                <w:b w:val="0"/>
                <w:color w:val="000000"/>
                <w:sz w:val="19"/>
              </w:rPr>
              <w:t>P1</w:t>
            </w:r>
            <w:r>
              <w:br w:type="textWrapping"/>
            </w:r>
            <w:r>
              <w:rPr>
                <w:rFonts w:ascii="Arial Unicode MS" w:hAnsi="Arial Unicode MS" w:eastAsia="Arial Unicode MS"/>
                <w:b w:val="0"/>
                <w:color w:val="000000"/>
                <w:sz w:val="19"/>
              </w:rPr>
              <w:t>专家建议</w:t>
            </w:r>
          </w:p>
        </w:tc>
      </w:tr>
      <w:tr w14:paraId="0F562B99">
        <w:trPr>
          <w:cantSplit/>
          <w:jc w:val="center"/>
        </w:trPr>
        <w:tc>
          <w:tcPr>
            <w:tcW w:w="1656" w:type="dxa"/>
            <w:vAlign w:val="center"/>
          </w:tcPr>
          <w:p w14:paraId="109B6392">
            <w:pPr>
              <w:spacing w:before="40" w:after="40" w:line="280" w:lineRule="exact"/>
            </w:pPr>
            <w:r>
              <w:rPr>
                <w:rFonts w:ascii="Arial Unicode MS" w:hAnsi="Arial Unicode MS" w:eastAsia="Arial Unicode MS"/>
                <w:b w:val="0"/>
                <w:color w:val="000000"/>
                <w:sz w:val="19"/>
              </w:rPr>
              <w:t>F30</w:t>
            </w:r>
            <w:r>
              <w:br w:type="textWrapping"/>
            </w:r>
            <w:r>
              <w:rPr>
                <w:rFonts w:ascii="Arial Unicode MS" w:hAnsi="Arial Unicode MS" w:eastAsia="Arial Unicode MS"/>
                <w:b w:val="0"/>
                <w:color w:val="000000"/>
                <w:sz w:val="19"/>
              </w:rPr>
              <w:t>轻量位置与成品备货</w:t>
            </w:r>
          </w:p>
        </w:tc>
        <w:tc>
          <w:tcPr>
            <w:tcW w:w="3816" w:type="dxa"/>
            <w:vAlign w:val="center"/>
          </w:tcPr>
          <w:p w14:paraId="5A79979E">
            <w:pPr>
              <w:spacing w:before="40" w:after="40" w:line="280" w:lineRule="exact"/>
            </w:pPr>
            <w:r>
              <w:rPr>
                <w:rFonts w:ascii="Arial Unicode MS" w:hAnsi="Arial Unicode MS" w:eastAsia="Arial Unicode MS"/>
                <w:b w:val="0"/>
                <w:color w:val="000000"/>
                <w:sz w:val="19"/>
              </w:rPr>
              <w:t>准备 定义必要的区域/动态位置、对象状态及出货顺序信息。</w:t>
            </w:r>
            <w:r>
              <w:br w:type="textWrapping"/>
            </w:r>
            <w:r>
              <w:rPr>
                <w:rFonts w:ascii="Arial Unicode MS" w:hAnsi="Arial Unicode MS" w:eastAsia="Arial Unicode MS"/>
                <w:b w:val="0"/>
                <w:color w:val="000000"/>
                <w:sz w:val="19"/>
              </w:rPr>
              <w:t>正常 按获准发运顺序灵活安排成品备货位置，记录移位与交接。</w:t>
            </w:r>
          </w:p>
        </w:tc>
        <w:tc>
          <w:tcPr>
            <w:tcW w:w="3384" w:type="dxa"/>
            <w:vAlign w:val="center"/>
          </w:tcPr>
          <w:p w14:paraId="72818D70">
            <w:pPr>
              <w:spacing w:before="40" w:after="40" w:line="280" w:lineRule="exact"/>
            </w:pPr>
            <w:r>
              <w:rPr>
                <w:rFonts w:ascii="Arial Unicode MS" w:hAnsi="Arial Unicode MS" w:eastAsia="Arial Unicode MS"/>
                <w:b w:val="0"/>
                <w:color w:val="000000"/>
                <w:sz w:val="19"/>
              </w:rPr>
              <w:t>位置拥堵、错位或临时放置有标识和责任，不把位置规则误作固定库位已具备。</w:t>
            </w:r>
          </w:p>
        </w:tc>
        <w:tc>
          <w:tcPr>
            <w:tcW w:w="3528" w:type="dxa"/>
            <w:vAlign w:val="center"/>
          </w:tcPr>
          <w:p w14:paraId="69E38A21">
            <w:pPr>
              <w:spacing w:before="40" w:after="40" w:line="280" w:lineRule="exact"/>
            </w:pPr>
            <w:r>
              <w:rPr>
                <w:rFonts w:ascii="Arial Unicode MS" w:hAnsi="Arial Unicode MS" w:eastAsia="Arial Unicode MS"/>
                <w:b w:val="0"/>
                <w:color w:val="000000"/>
                <w:sz w:val="19"/>
              </w:rPr>
              <w:t>现厂轻量能力先落地；完整WMS和自动化独立范围评价。</w:t>
            </w:r>
          </w:p>
        </w:tc>
        <w:tc>
          <w:tcPr>
            <w:tcW w:w="1440" w:type="dxa"/>
            <w:vAlign w:val="center"/>
          </w:tcPr>
          <w:p w14:paraId="1865473C">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明确需求</w:t>
            </w:r>
          </w:p>
        </w:tc>
      </w:tr>
      <w:tr w14:paraId="6B9D3584">
        <w:trPr>
          <w:cantSplit/>
          <w:jc w:val="center"/>
        </w:trPr>
        <w:tc>
          <w:tcPr>
            <w:tcW w:w="1656" w:type="dxa"/>
            <w:shd w:val="clear" w:color="auto" w:fill="F1F5F8"/>
            <w:vAlign w:val="center"/>
          </w:tcPr>
          <w:p w14:paraId="659E0F80">
            <w:pPr>
              <w:spacing w:before="40" w:after="40" w:line="280" w:lineRule="exact"/>
            </w:pPr>
            <w:r>
              <w:rPr>
                <w:rFonts w:ascii="Arial Unicode MS" w:hAnsi="Arial Unicode MS" w:eastAsia="Arial Unicode MS"/>
                <w:b w:val="0"/>
                <w:color w:val="000000"/>
                <w:sz w:val="19"/>
              </w:rPr>
              <w:t>F34</w:t>
            </w:r>
            <w:r>
              <w:br w:type="textWrapping"/>
            </w:r>
            <w:r>
              <w:rPr>
                <w:rFonts w:ascii="Arial Unicode MS" w:hAnsi="Arial Unicode MS" w:eastAsia="Arial Unicode MS"/>
                <w:b w:val="0"/>
                <w:color w:val="000000"/>
                <w:sz w:val="19"/>
              </w:rPr>
              <w:t>包装、实物收库与发运交接</w:t>
            </w:r>
          </w:p>
        </w:tc>
        <w:tc>
          <w:tcPr>
            <w:tcW w:w="3816" w:type="dxa"/>
            <w:shd w:val="clear" w:color="auto" w:fill="F1F5F8"/>
            <w:vAlign w:val="center"/>
          </w:tcPr>
          <w:p w14:paraId="076F497C">
            <w:pPr>
              <w:spacing w:before="40" w:after="40" w:line="280" w:lineRule="exact"/>
            </w:pPr>
            <w:r>
              <w:rPr>
                <w:rFonts w:ascii="Arial Unicode MS" w:hAnsi="Arial Unicode MS" w:eastAsia="Arial Unicode MS"/>
                <w:b w:val="0"/>
                <w:color w:val="000000"/>
                <w:sz w:val="19"/>
              </w:rPr>
              <w:t>准备 定义检验完成、包装完成、生产入库过账、实物收库及交运的独立事件。</w:t>
            </w:r>
            <w:r>
              <w:br w:type="textWrapping"/>
            </w:r>
            <w:r>
              <w:rPr>
                <w:rFonts w:ascii="Arial Unicode MS" w:hAnsi="Arial Unicode MS" w:eastAsia="Arial Unicode MS"/>
                <w:b w:val="0"/>
                <w:color w:val="000000"/>
                <w:sz w:val="19"/>
              </w:rPr>
              <w:t>正常 记录实际对象、数量、时间和交接人，使可发运状态可解释。</w:t>
            </w:r>
          </w:p>
        </w:tc>
        <w:tc>
          <w:tcPr>
            <w:tcW w:w="3384" w:type="dxa"/>
            <w:shd w:val="clear" w:color="auto" w:fill="F1F5F8"/>
            <w:vAlign w:val="center"/>
          </w:tcPr>
          <w:p w14:paraId="1702374B">
            <w:pPr>
              <w:spacing w:before="40" w:after="40" w:line="280" w:lineRule="exact"/>
            </w:pPr>
            <w:r>
              <w:rPr>
                <w:rFonts w:ascii="Arial Unicode MS" w:hAnsi="Arial Unicode MS" w:eastAsia="Arial Unicode MS"/>
                <w:b w:val="0"/>
                <w:color w:val="000000"/>
                <w:sz w:val="19"/>
              </w:rPr>
              <w:t>先过账后收库、部分包装、取消及返工对象独立控制并对账。</w:t>
            </w:r>
          </w:p>
        </w:tc>
        <w:tc>
          <w:tcPr>
            <w:tcW w:w="3528" w:type="dxa"/>
            <w:shd w:val="clear" w:color="auto" w:fill="F1F5F8"/>
            <w:vAlign w:val="center"/>
          </w:tcPr>
          <w:p w14:paraId="347AADB8">
            <w:pPr>
              <w:spacing w:before="40" w:after="40" w:line="280" w:lineRule="exact"/>
            </w:pPr>
            <w:r>
              <w:rPr>
                <w:rFonts w:ascii="Arial Unicode MS" w:hAnsi="Arial Unicode MS" w:eastAsia="Arial Unicode MS"/>
                <w:b w:val="0"/>
                <w:color w:val="000000"/>
                <w:sz w:val="19"/>
              </w:rPr>
              <w:t>ERP保留生产入库、销售出库账务；MES/仓储执行事件不取代账务。</w:t>
            </w:r>
          </w:p>
        </w:tc>
        <w:tc>
          <w:tcPr>
            <w:tcW w:w="1440" w:type="dxa"/>
            <w:shd w:val="clear" w:color="auto" w:fill="F1F5F8"/>
            <w:vAlign w:val="center"/>
          </w:tcPr>
          <w:p w14:paraId="7D3D9429">
            <w:pPr>
              <w:spacing w:before="40" w:after="40" w:line="280" w:lineRule="exact"/>
              <w:jc w:val="center"/>
            </w:pPr>
            <w:r>
              <w:rPr>
                <w:rFonts w:ascii="Arial Unicode MS" w:hAnsi="Arial Unicode MS" w:eastAsia="Arial Unicode MS"/>
                <w:b w:val="0"/>
                <w:color w:val="000000"/>
                <w:sz w:val="19"/>
              </w:rPr>
              <w:t>P0</w:t>
            </w:r>
            <w:r>
              <w:br w:type="textWrapping"/>
            </w:r>
            <w:r>
              <w:rPr>
                <w:rFonts w:ascii="Arial Unicode MS" w:hAnsi="Arial Unicode MS" w:eastAsia="Arial Unicode MS"/>
                <w:b w:val="0"/>
                <w:color w:val="000000"/>
                <w:sz w:val="19"/>
              </w:rPr>
              <w:t>明确需求</w:t>
            </w:r>
          </w:p>
        </w:tc>
      </w:tr>
      <w:tr w14:paraId="06F857BB">
        <w:trPr>
          <w:cantSplit/>
          <w:jc w:val="center"/>
        </w:trPr>
        <w:tc>
          <w:tcPr>
            <w:tcW w:w="1656" w:type="dxa"/>
            <w:vAlign w:val="center"/>
          </w:tcPr>
          <w:p w14:paraId="29D17245">
            <w:pPr>
              <w:spacing w:before="40" w:after="40" w:line="280" w:lineRule="exact"/>
            </w:pPr>
            <w:r>
              <w:rPr>
                <w:rFonts w:ascii="Arial Unicode MS" w:hAnsi="Arial Unicode MS" w:eastAsia="Arial Unicode MS"/>
                <w:b w:val="0"/>
                <w:color w:val="000000"/>
                <w:sz w:val="19"/>
              </w:rPr>
              <w:t>F61</w:t>
            </w:r>
            <w:r>
              <w:br w:type="textWrapping"/>
            </w:r>
            <w:r>
              <w:rPr>
                <w:rFonts w:ascii="Arial Unicode MS" w:hAnsi="Arial Unicode MS" w:eastAsia="Arial Unicode MS"/>
                <w:b w:val="0"/>
                <w:color w:val="000000"/>
                <w:sz w:val="19"/>
              </w:rPr>
              <w:t>现场库存核对与差异提报</w:t>
            </w:r>
          </w:p>
        </w:tc>
        <w:tc>
          <w:tcPr>
            <w:tcW w:w="3816" w:type="dxa"/>
            <w:vAlign w:val="center"/>
          </w:tcPr>
          <w:p w14:paraId="13CEB2BA">
            <w:pPr>
              <w:spacing w:before="40" w:after="40" w:line="280" w:lineRule="exact"/>
            </w:pPr>
            <w:r>
              <w:rPr>
                <w:rFonts w:ascii="Arial Unicode MS" w:hAnsi="Arial Unicode MS" w:eastAsia="Arial Unicode MS"/>
                <w:b w:val="0"/>
                <w:color w:val="000000"/>
                <w:sz w:val="19"/>
              </w:rPr>
              <w:t>准备 明确轻量位置/交接范围内的实物对象和核对口径。</w:t>
            </w:r>
            <w:r>
              <w:br w:type="textWrapping"/>
            </w:r>
            <w:r>
              <w:rPr>
                <w:rFonts w:ascii="Arial Unicode MS" w:hAnsi="Arial Unicode MS" w:eastAsia="Arial Unicode MS"/>
                <w:b w:val="0"/>
                <w:color w:val="000000"/>
                <w:sz w:val="19"/>
              </w:rPr>
              <w:t>正常 按ERP盘点任务或批准抽核记录实物数量、位置及状态差异。</w:t>
            </w:r>
          </w:p>
        </w:tc>
        <w:tc>
          <w:tcPr>
            <w:tcW w:w="3384" w:type="dxa"/>
            <w:vAlign w:val="center"/>
          </w:tcPr>
          <w:p w14:paraId="41CFD645">
            <w:pPr>
              <w:spacing w:before="40" w:after="40" w:line="280" w:lineRule="exact"/>
            </w:pPr>
            <w:r>
              <w:rPr>
                <w:rFonts w:ascii="Arial Unicode MS" w:hAnsi="Arial Unicode MS" w:eastAsia="Arial Unicode MS"/>
                <w:b w:val="0"/>
                <w:color w:val="000000"/>
                <w:sz w:val="19"/>
              </w:rPr>
              <w:t>备品、尾料、已过账未交接等差异分类提报并跟踪，审批后同步对应处理结果。</w:t>
            </w:r>
          </w:p>
        </w:tc>
        <w:tc>
          <w:tcPr>
            <w:tcW w:w="3528" w:type="dxa"/>
            <w:vAlign w:val="center"/>
          </w:tcPr>
          <w:p w14:paraId="42A40CB0">
            <w:pPr>
              <w:spacing w:before="40" w:after="40" w:line="280" w:lineRule="exact"/>
            </w:pPr>
            <w:r>
              <w:rPr>
                <w:rFonts w:ascii="Arial Unicode MS" w:hAnsi="Arial Unicode MS" w:eastAsia="Arial Unicode MS"/>
                <w:b w:val="0"/>
                <w:color w:val="000000"/>
                <w:sz w:val="19"/>
              </w:rPr>
              <w:t>调账审批和会计过账仍在ERP；持续循环盘点、完整WMS为后续深化。</w:t>
            </w:r>
          </w:p>
        </w:tc>
        <w:tc>
          <w:tcPr>
            <w:tcW w:w="1440" w:type="dxa"/>
            <w:vAlign w:val="center"/>
          </w:tcPr>
          <w:p w14:paraId="6D738994">
            <w:pPr>
              <w:spacing w:before="40" w:after="40" w:line="280" w:lineRule="exact"/>
              <w:jc w:val="center"/>
            </w:pPr>
            <w:r>
              <w:rPr>
                <w:rFonts w:ascii="Arial Unicode MS" w:hAnsi="Arial Unicode MS" w:eastAsia="Arial Unicode MS"/>
                <w:b w:val="0"/>
                <w:color w:val="000000"/>
                <w:sz w:val="19"/>
              </w:rPr>
              <w:t>P1</w:t>
            </w:r>
            <w:r>
              <w:br w:type="textWrapping"/>
            </w:r>
            <w:r>
              <w:rPr>
                <w:rFonts w:ascii="Arial Unicode MS" w:hAnsi="Arial Unicode MS" w:eastAsia="Arial Unicode MS"/>
                <w:b w:val="0"/>
                <w:color w:val="000000"/>
                <w:sz w:val="19"/>
              </w:rPr>
              <w:t>专家建议</w:t>
            </w:r>
          </w:p>
        </w:tc>
      </w:tr>
    </w:tbl>
    <w:p w14:paraId="4234BB1D">
      <w:pPr>
        <w:pStyle w:val="5"/>
      </w:pPr>
      <w:r>
        <w:rPr>
          <w:rFonts w:ascii="Arial Unicode MS" w:hAnsi="Arial Unicode MS" w:eastAsia="Arial Unicode MS"/>
          <w:color w:val="000000"/>
        </w:rPr>
        <w:t>M06 制造质量记录与产品追溯</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3E1C252B">
        <w:trPr>
          <w:cantSplit/>
          <w:tblHeader/>
          <w:jc w:val="center"/>
        </w:trPr>
        <w:tc>
          <w:tcPr>
            <w:tcW w:w="1656" w:type="dxa"/>
            <w:shd w:val="clear" w:color="auto" w:fill="234A68"/>
            <w:vAlign w:val="center"/>
          </w:tcPr>
          <w:p w14:paraId="561FE101">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678974C3">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59BDFBB5">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5EF80CCC">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62625768">
            <w:pPr>
              <w:keepNext/>
              <w:spacing w:before="40" w:after="40" w:line="280" w:lineRule="exact"/>
              <w:jc w:val="center"/>
            </w:pPr>
            <w:r>
              <w:rPr>
                <w:rFonts w:ascii="Arial Unicode MS" w:hAnsi="Arial Unicode MS" w:eastAsia="Arial Unicode MS"/>
                <w:b/>
                <w:color w:val="FFFFFF"/>
                <w:sz w:val="19"/>
              </w:rPr>
              <w:t>优先级与依据</w:t>
            </w:r>
          </w:p>
        </w:tc>
      </w:tr>
      <w:tr w14:paraId="3DE600A4">
        <w:trPr>
          <w:cantSplit/>
          <w:jc w:val="center"/>
        </w:trPr>
        <w:tc>
          <w:tcPr>
            <w:tcW w:w="1656" w:type="dxa"/>
            <w:vAlign w:val="center"/>
          </w:tcPr>
          <w:p w14:paraId="3660CC67">
            <w:pPr>
              <w:spacing w:before="40" w:after="40" w:line="280" w:lineRule="exact"/>
            </w:pPr>
            <w:r>
              <w:rPr>
                <w:rFonts w:ascii="Arial Unicode MS" w:hAnsi="Arial Unicode MS" w:eastAsia="Arial Unicode MS"/>
                <w:b w:val="0"/>
                <w:color w:val="000000"/>
                <w:sz w:val="19"/>
              </w:rPr>
              <w:t>F36测试结果与产品身份关联</w:t>
            </w:r>
          </w:p>
        </w:tc>
        <w:tc>
          <w:tcPr>
            <w:tcW w:w="3816" w:type="dxa"/>
            <w:vAlign w:val="center"/>
          </w:tcPr>
          <w:p w14:paraId="30E00EF6">
            <w:pPr>
              <w:spacing w:before="40" w:after="40" w:line="280" w:lineRule="exact"/>
            </w:pPr>
            <w:r>
              <w:rPr>
                <w:rFonts w:ascii="Arial Unicode MS" w:hAnsi="Arial Unicode MS" w:eastAsia="Arial Unicode MS"/>
                <w:b w:val="0"/>
                <w:color w:val="000000"/>
                <w:sz w:val="19"/>
              </w:rPr>
              <w:t>准备 统一SN、型号、模组版本、测试项目/单位及结果映射。正常 自动归集测试结果、实际软件版本和原始文件索引，支持单件/批量查询。</w:t>
            </w:r>
          </w:p>
        </w:tc>
        <w:tc>
          <w:tcPr>
            <w:tcW w:w="3384" w:type="dxa"/>
            <w:vAlign w:val="center"/>
          </w:tcPr>
          <w:p w14:paraId="564AFD90">
            <w:pPr>
              <w:spacing w:before="40" w:after="40" w:line="280" w:lineRule="exact"/>
            </w:pPr>
            <w:r>
              <w:rPr>
                <w:rFonts w:ascii="Arial Unicode MS" w:hAnsi="Arial Unicode MS" w:eastAsia="Arial Unicode MS"/>
                <w:b w:val="0"/>
                <w:color w:val="000000"/>
                <w:sz w:val="19"/>
              </w:rPr>
              <w:t>身份不匹配、失败/复测、缺项及重复上传显式处理，不覆盖原结果。</w:t>
            </w:r>
          </w:p>
        </w:tc>
        <w:tc>
          <w:tcPr>
            <w:tcW w:w="3528" w:type="dxa"/>
            <w:vAlign w:val="center"/>
          </w:tcPr>
          <w:p w14:paraId="47605BAE">
            <w:pPr>
              <w:spacing w:before="40" w:after="40" w:line="280" w:lineRule="exact"/>
            </w:pPr>
            <w:r>
              <w:rPr>
                <w:rFonts w:ascii="Arial Unicode MS" w:hAnsi="Arial Unicode MS" w:eastAsia="Arial Unicode MS"/>
                <w:b w:val="0"/>
                <w:color w:val="000000"/>
                <w:sz w:val="19"/>
              </w:rPr>
              <w:t>产测软件继续负责配置选择与测试控制，MES提供身份和结果使用链。</w:t>
            </w:r>
          </w:p>
        </w:tc>
        <w:tc>
          <w:tcPr>
            <w:tcW w:w="1440" w:type="dxa"/>
            <w:vAlign w:val="center"/>
          </w:tcPr>
          <w:p w14:paraId="78E0485E">
            <w:pPr>
              <w:spacing w:before="40" w:after="40" w:line="280" w:lineRule="exact"/>
              <w:jc w:val="center"/>
            </w:pPr>
            <w:r>
              <w:rPr>
                <w:rFonts w:ascii="Arial Unicode MS" w:hAnsi="Arial Unicode MS" w:eastAsia="Arial Unicode MS"/>
                <w:b w:val="0"/>
                <w:color w:val="000000"/>
                <w:sz w:val="19"/>
              </w:rPr>
              <w:t>P0明确需求</w:t>
            </w:r>
          </w:p>
        </w:tc>
      </w:tr>
      <w:tr w14:paraId="620CBE9B">
        <w:trPr>
          <w:cantSplit/>
          <w:jc w:val="center"/>
        </w:trPr>
        <w:tc>
          <w:tcPr>
            <w:tcW w:w="1656" w:type="dxa"/>
            <w:shd w:val="clear" w:color="auto" w:fill="F1F5F8"/>
            <w:vAlign w:val="center"/>
          </w:tcPr>
          <w:p w14:paraId="6FBCF8BC">
            <w:pPr>
              <w:spacing w:before="40" w:after="40" w:line="280" w:lineRule="exact"/>
            </w:pPr>
            <w:r>
              <w:rPr>
                <w:rFonts w:ascii="Arial Unicode MS" w:hAnsi="Arial Unicode MS" w:eastAsia="Arial Unicode MS"/>
                <w:b w:val="0"/>
                <w:color w:val="000000"/>
                <w:sz w:val="19"/>
              </w:rPr>
              <w:t>F37关键件谱系与正反追溯</w:t>
            </w:r>
          </w:p>
        </w:tc>
        <w:tc>
          <w:tcPr>
            <w:tcW w:w="3816" w:type="dxa"/>
            <w:shd w:val="clear" w:color="auto" w:fill="F1F5F8"/>
            <w:vAlign w:val="center"/>
          </w:tcPr>
          <w:p w14:paraId="0CE0472D">
            <w:pPr>
              <w:spacing w:before="40" w:after="40" w:line="280" w:lineRule="exact"/>
            </w:pPr>
            <w:r>
              <w:rPr>
                <w:rFonts w:ascii="Arial Unicode MS" w:hAnsi="Arial Unicode MS" w:eastAsia="Arial Unicode MS"/>
                <w:b w:val="0"/>
                <w:color w:val="000000"/>
                <w:sz w:val="19"/>
              </w:rPr>
              <w:t>准备 区分产品SN、PCBA序列、供方标识、来源批次及接收标识。正常 正查实装与检验，反查受影响对象；同产品不同用途标签映射同一记录。</w:t>
            </w:r>
          </w:p>
        </w:tc>
        <w:tc>
          <w:tcPr>
            <w:tcW w:w="3384" w:type="dxa"/>
            <w:shd w:val="clear" w:color="auto" w:fill="F1F5F8"/>
            <w:vAlign w:val="center"/>
          </w:tcPr>
          <w:p w14:paraId="4F25C5D5">
            <w:pPr>
              <w:spacing w:before="40" w:after="40" w:line="280" w:lineRule="exact"/>
            </w:pPr>
            <w:r>
              <w:rPr>
                <w:rFonts w:ascii="Arial Unicode MS" w:hAnsi="Arial Unicode MS" w:eastAsia="Arial Unicode MS"/>
                <w:b w:val="0"/>
                <w:color w:val="000000"/>
                <w:sz w:val="19"/>
              </w:rPr>
              <w:t>转车、混型维修、替出替入、重绑及补打留原来源、人员和时间；不能以首次绑定或整车结果代表最终逐件状态。</w:t>
            </w:r>
          </w:p>
        </w:tc>
        <w:tc>
          <w:tcPr>
            <w:tcW w:w="3528" w:type="dxa"/>
            <w:shd w:val="clear" w:color="auto" w:fill="F1F5F8"/>
            <w:vAlign w:val="center"/>
          </w:tcPr>
          <w:p w14:paraId="75DC13E5">
            <w:pPr>
              <w:spacing w:before="40" w:after="40" w:line="280" w:lineRule="exact"/>
            </w:pPr>
            <w:r>
              <w:rPr>
                <w:rFonts w:ascii="Arial Unicode MS" w:hAnsi="Arial Unicode MS" w:eastAsia="Arial Unicode MS"/>
                <w:b w:val="0"/>
                <w:color w:val="000000"/>
                <w:sz w:val="19"/>
              </w:rPr>
              <w:t>标签份数不等于产品数量；追溯清单、粒度与留存按适用规则批准。</w:t>
            </w:r>
          </w:p>
        </w:tc>
        <w:tc>
          <w:tcPr>
            <w:tcW w:w="1440" w:type="dxa"/>
            <w:shd w:val="clear" w:color="auto" w:fill="F1F5F8"/>
            <w:vAlign w:val="center"/>
          </w:tcPr>
          <w:p w14:paraId="0EA5C262">
            <w:pPr>
              <w:spacing w:before="40" w:after="40" w:line="280" w:lineRule="exact"/>
              <w:jc w:val="center"/>
            </w:pPr>
            <w:r>
              <w:rPr>
                <w:rFonts w:ascii="Arial Unicode MS" w:hAnsi="Arial Unicode MS" w:eastAsia="Arial Unicode MS"/>
                <w:b w:val="0"/>
                <w:color w:val="000000"/>
                <w:sz w:val="19"/>
              </w:rPr>
              <w:t>P0明确需求</w:t>
            </w:r>
          </w:p>
        </w:tc>
      </w:tr>
      <w:tr w14:paraId="58954D25">
        <w:trPr>
          <w:cantSplit/>
          <w:jc w:val="center"/>
        </w:trPr>
        <w:tc>
          <w:tcPr>
            <w:tcW w:w="1656" w:type="dxa"/>
            <w:vAlign w:val="center"/>
          </w:tcPr>
          <w:p w14:paraId="3A865D46">
            <w:pPr>
              <w:spacing w:before="40" w:after="40" w:line="280" w:lineRule="exact"/>
            </w:pPr>
            <w:r>
              <w:rPr>
                <w:rFonts w:ascii="Arial Unicode MS" w:hAnsi="Arial Unicode MS" w:eastAsia="Arial Unicode MS"/>
                <w:b w:val="0"/>
                <w:color w:val="000000"/>
                <w:sz w:val="19"/>
              </w:rPr>
              <w:t>F38不良标记、维修复测与授权处置</w:t>
            </w:r>
          </w:p>
        </w:tc>
        <w:tc>
          <w:tcPr>
            <w:tcW w:w="3816" w:type="dxa"/>
            <w:vAlign w:val="center"/>
          </w:tcPr>
          <w:p w14:paraId="621F4FE0">
            <w:pPr>
              <w:spacing w:before="40" w:after="40" w:line="280" w:lineRule="exact"/>
            </w:pPr>
            <w:r>
              <w:rPr>
                <w:rFonts w:ascii="Arial Unicode MS" w:hAnsi="Arial Unicode MS" w:eastAsia="Arial Unicode MS"/>
                <w:b w:val="0"/>
                <w:color w:val="000000"/>
                <w:sz w:val="19"/>
              </w:rPr>
              <w:t>准备 明确事件类别、受影响产品、维修记录及必要检验要求。正常 测试或人工识别异常后确认不良状态，记录动作、换件和复测。</w:t>
            </w:r>
          </w:p>
        </w:tc>
        <w:tc>
          <w:tcPr>
            <w:tcW w:w="3384" w:type="dxa"/>
            <w:vAlign w:val="center"/>
          </w:tcPr>
          <w:p w14:paraId="611CBF1B">
            <w:pPr>
              <w:spacing w:before="40" w:after="40" w:line="280" w:lineRule="exact"/>
            </w:pPr>
            <w:r>
              <w:rPr>
                <w:rFonts w:ascii="Arial Unicode MS" w:hAnsi="Arial Unicode MS" w:eastAsia="Arial Unicode MS"/>
                <w:b w:val="0"/>
                <w:color w:val="000000"/>
                <w:sz w:val="19"/>
              </w:rPr>
              <w:t>同故障混型归组仍逐件记录来源、动作和复测；按适用分支退料、报废或放行，部分数量分别控制。</w:t>
            </w:r>
          </w:p>
        </w:tc>
        <w:tc>
          <w:tcPr>
            <w:tcW w:w="3528" w:type="dxa"/>
            <w:vAlign w:val="center"/>
          </w:tcPr>
          <w:p w14:paraId="442CD82C">
            <w:pPr>
              <w:spacing w:before="40" w:after="40" w:line="280" w:lineRule="exact"/>
            </w:pPr>
            <w:r>
              <w:rPr>
                <w:rFonts w:ascii="Arial Unicode MS" w:hAnsi="Arial Unicode MS" w:eastAsia="Arial Unicode MS"/>
                <w:b w:val="0"/>
                <w:color w:val="000000"/>
                <w:sz w:val="19"/>
              </w:rPr>
              <w:t>不设统一最低维修批量或单型号维修车限制；业务拆分按实际对象、数量和授权处理。</w:t>
            </w:r>
          </w:p>
        </w:tc>
        <w:tc>
          <w:tcPr>
            <w:tcW w:w="1440" w:type="dxa"/>
            <w:vAlign w:val="center"/>
          </w:tcPr>
          <w:p w14:paraId="22DBC481">
            <w:pPr>
              <w:spacing w:before="40" w:after="40" w:line="280" w:lineRule="exact"/>
              <w:jc w:val="center"/>
            </w:pPr>
            <w:r>
              <w:rPr>
                <w:rFonts w:ascii="Arial Unicode MS" w:hAnsi="Arial Unicode MS" w:eastAsia="Arial Unicode MS"/>
                <w:b w:val="0"/>
                <w:color w:val="000000"/>
                <w:sz w:val="19"/>
              </w:rPr>
              <w:t>P0明确需求</w:t>
            </w:r>
          </w:p>
        </w:tc>
      </w:tr>
      <w:tr w14:paraId="3F4E9A8E">
        <w:trPr>
          <w:cantSplit/>
          <w:jc w:val="center"/>
        </w:trPr>
        <w:tc>
          <w:tcPr>
            <w:tcW w:w="1656" w:type="dxa"/>
            <w:shd w:val="clear" w:color="auto" w:fill="F1F5F8"/>
            <w:vAlign w:val="center"/>
          </w:tcPr>
          <w:p w14:paraId="16B8C1A7">
            <w:pPr>
              <w:spacing w:before="40" w:after="40" w:line="280" w:lineRule="exact"/>
            </w:pPr>
            <w:r>
              <w:rPr>
                <w:rFonts w:ascii="Arial Unicode MS" w:hAnsi="Arial Unicode MS" w:eastAsia="Arial Unicode MS"/>
                <w:b w:val="0"/>
                <w:color w:val="000000"/>
                <w:sz w:val="19"/>
              </w:rPr>
              <w:t>F39检验依据与历史判定语义</w:t>
            </w:r>
          </w:p>
        </w:tc>
        <w:tc>
          <w:tcPr>
            <w:tcW w:w="3816" w:type="dxa"/>
            <w:shd w:val="clear" w:color="auto" w:fill="F1F5F8"/>
            <w:vAlign w:val="center"/>
          </w:tcPr>
          <w:p w14:paraId="58F26196">
            <w:pPr>
              <w:spacing w:before="40" w:after="40" w:line="280" w:lineRule="exact"/>
            </w:pPr>
            <w:r>
              <w:rPr>
                <w:rFonts w:ascii="Arial Unicode MS" w:hAnsi="Arial Unicode MS" w:eastAsia="Arial Unicode MS"/>
                <w:b w:val="0"/>
                <w:color w:val="000000"/>
                <w:sz w:val="19"/>
              </w:rPr>
              <w:t>准备 引用批准项目、单位/限值、样例、抽样与版本，并按适用范围配置首检/巡检。正常 记录当时依据，支持全检、抽检、加严与并行项目。</w:t>
            </w:r>
          </w:p>
        </w:tc>
        <w:tc>
          <w:tcPr>
            <w:tcW w:w="3384" w:type="dxa"/>
            <w:shd w:val="clear" w:color="auto" w:fill="F1F5F8"/>
            <w:vAlign w:val="center"/>
          </w:tcPr>
          <w:p w14:paraId="2AAF115B">
            <w:pPr>
              <w:spacing w:before="40" w:after="40" w:line="280" w:lineRule="exact"/>
            </w:pPr>
            <w:r>
              <w:rPr>
                <w:rFonts w:ascii="Arial Unicode MS" w:hAnsi="Arial Unicode MS" w:eastAsia="Arial Unicode MS"/>
                <w:b w:val="0"/>
                <w:color w:val="000000"/>
                <w:sz w:val="19"/>
              </w:rPr>
              <w:t>标准更新不覆盖历史；缺少有效依据及抽样变更按授权处理；并行项目不强制同一顺序。</w:t>
            </w:r>
          </w:p>
        </w:tc>
        <w:tc>
          <w:tcPr>
            <w:tcW w:w="3528" w:type="dxa"/>
            <w:shd w:val="clear" w:color="auto" w:fill="F1F5F8"/>
            <w:vAlign w:val="center"/>
          </w:tcPr>
          <w:p w14:paraId="2B2EC7A4">
            <w:pPr>
              <w:spacing w:before="40" w:after="40" w:line="280" w:lineRule="exact"/>
            </w:pPr>
            <w:r>
              <w:rPr>
                <w:rFonts w:ascii="Arial Unicode MS" w:hAnsi="Arial Unicode MS" w:eastAsia="Arial Unicode MS"/>
                <w:b w:val="0"/>
                <w:color w:val="000000"/>
                <w:sz w:val="19"/>
              </w:rPr>
              <w:t>质量标准的制定与批准由AR6和相关技术责任位承担，MES保留执行时依据。</w:t>
            </w:r>
          </w:p>
        </w:tc>
        <w:tc>
          <w:tcPr>
            <w:tcW w:w="1440" w:type="dxa"/>
            <w:shd w:val="clear" w:color="auto" w:fill="F1F5F8"/>
            <w:vAlign w:val="center"/>
          </w:tcPr>
          <w:p w14:paraId="365EEC1F">
            <w:pPr>
              <w:spacing w:before="40" w:after="40" w:line="280" w:lineRule="exact"/>
              <w:jc w:val="center"/>
            </w:pPr>
            <w:r>
              <w:rPr>
                <w:rFonts w:ascii="Arial Unicode MS" w:hAnsi="Arial Unicode MS" w:eastAsia="Arial Unicode MS"/>
                <w:b w:val="0"/>
                <w:color w:val="000000"/>
                <w:sz w:val="19"/>
              </w:rPr>
              <w:t>P0专家建议</w:t>
            </w:r>
          </w:p>
        </w:tc>
      </w:tr>
      <w:tr w14:paraId="7EBA6739">
        <w:trPr>
          <w:cantSplit/>
          <w:jc w:val="center"/>
        </w:trPr>
        <w:tc>
          <w:tcPr>
            <w:tcW w:w="1656" w:type="dxa"/>
            <w:vAlign w:val="center"/>
          </w:tcPr>
          <w:p w14:paraId="7707CA50">
            <w:pPr>
              <w:spacing w:before="40" w:after="40" w:line="280" w:lineRule="exact"/>
            </w:pPr>
            <w:r>
              <w:rPr>
                <w:rFonts w:ascii="Arial Unicode MS" w:hAnsi="Arial Unicode MS" w:eastAsia="Arial Unicode MS"/>
                <w:b w:val="0"/>
                <w:color w:val="000000"/>
                <w:sz w:val="19"/>
              </w:rPr>
              <w:t>F40电子出货报告与图片档案</w:t>
            </w:r>
          </w:p>
        </w:tc>
        <w:tc>
          <w:tcPr>
            <w:tcW w:w="3816" w:type="dxa"/>
            <w:vAlign w:val="center"/>
          </w:tcPr>
          <w:p w14:paraId="64D22391">
            <w:pPr>
              <w:spacing w:before="40" w:after="40" w:line="280" w:lineRule="exact"/>
            </w:pPr>
            <w:r>
              <w:rPr>
                <w:rFonts w:ascii="Arial Unicode MS" w:hAnsi="Arial Unicode MS" w:eastAsia="Arial Unicode MS"/>
                <w:b w:val="0"/>
                <w:color w:val="000000"/>
                <w:sz w:val="19"/>
              </w:rPr>
              <w:t>准备 核对电机、初测、成品记录及客户报告关系，分别定义固有参数、实测值和客户字段。正常 从源数据生成报告，保留内外版本及产品、包装和标签图片。</w:t>
            </w:r>
          </w:p>
        </w:tc>
        <w:tc>
          <w:tcPr>
            <w:tcW w:w="3384" w:type="dxa"/>
            <w:vAlign w:val="center"/>
          </w:tcPr>
          <w:p w14:paraId="654AE923">
            <w:pPr>
              <w:spacing w:before="40" w:after="40" w:line="280" w:lineRule="exact"/>
            </w:pPr>
            <w:r>
              <w:rPr>
                <w:rFonts w:ascii="Arial Unicode MS" w:hAnsi="Arial Unicode MS" w:eastAsia="Arial Unicode MS"/>
                <w:b w:val="0"/>
                <w:color w:val="000000"/>
                <w:sz w:val="19"/>
              </w:rPr>
              <w:t>缺测、字段或内外版本不一致，重出/更正留历史，不覆盖原值。</w:t>
            </w:r>
          </w:p>
        </w:tc>
        <w:tc>
          <w:tcPr>
            <w:tcW w:w="3528" w:type="dxa"/>
            <w:vAlign w:val="center"/>
          </w:tcPr>
          <w:p w14:paraId="7DB1A78F">
            <w:pPr>
              <w:spacing w:before="40" w:after="40" w:line="280" w:lineRule="exact"/>
            </w:pPr>
            <w:r>
              <w:rPr>
                <w:rFonts w:ascii="Arial Unicode MS" w:hAnsi="Arial Unicode MS" w:eastAsia="Arial Unicode MS"/>
                <w:b w:val="0"/>
                <w:color w:val="000000"/>
                <w:sz w:val="19"/>
              </w:rPr>
              <w:t>报告生成、内部归档、质量放行与交运各自记录；打印与电子替代按批准范围执行。</w:t>
            </w:r>
          </w:p>
        </w:tc>
        <w:tc>
          <w:tcPr>
            <w:tcW w:w="1440" w:type="dxa"/>
            <w:vAlign w:val="center"/>
          </w:tcPr>
          <w:p w14:paraId="0CFD505F">
            <w:pPr>
              <w:spacing w:before="40" w:after="40" w:line="280" w:lineRule="exact"/>
              <w:jc w:val="center"/>
            </w:pPr>
            <w:r>
              <w:rPr>
                <w:rFonts w:ascii="Arial Unicode MS" w:hAnsi="Arial Unicode MS" w:eastAsia="Arial Unicode MS"/>
                <w:b w:val="0"/>
                <w:color w:val="000000"/>
                <w:sz w:val="19"/>
              </w:rPr>
              <w:t>P0明确需求</w:t>
            </w:r>
          </w:p>
        </w:tc>
      </w:tr>
      <w:tr w14:paraId="418A510E">
        <w:trPr>
          <w:cantSplit/>
          <w:jc w:val="center"/>
        </w:trPr>
        <w:tc>
          <w:tcPr>
            <w:tcW w:w="1656" w:type="dxa"/>
            <w:shd w:val="clear" w:color="auto" w:fill="F1F5F8"/>
            <w:vAlign w:val="center"/>
          </w:tcPr>
          <w:p w14:paraId="69FFBD79">
            <w:pPr>
              <w:spacing w:before="40" w:after="40" w:line="280" w:lineRule="exact"/>
            </w:pPr>
            <w:r>
              <w:rPr>
                <w:rFonts w:ascii="Arial Unicode MS" w:hAnsi="Arial Unicode MS" w:eastAsia="Arial Unicode MS"/>
                <w:b w:val="0"/>
                <w:color w:val="000000"/>
                <w:sz w:val="19"/>
              </w:rPr>
              <w:t>F41检验状态引用与制造流转约束</w:t>
            </w:r>
          </w:p>
        </w:tc>
        <w:tc>
          <w:tcPr>
            <w:tcW w:w="3816" w:type="dxa"/>
            <w:shd w:val="clear" w:color="auto" w:fill="F1F5F8"/>
            <w:vAlign w:val="center"/>
          </w:tcPr>
          <w:p w14:paraId="625C9490">
            <w:pPr>
              <w:spacing w:before="40" w:after="40" w:line="280" w:lineRule="exact"/>
            </w:pPr>
            <w:r>
              <w:rPr>
                <w:rFonts w:ascii="Arial Unicode MS" w:hAnsi="Arial Unicode MS" w:eastAsia="Arial Unicode MS"/>
                <w:b w:val="0"/>
                <w:color w:val="000000"/>
                <w:sz w:val="19"/>
              </w:rPr>
              <w:t>准备 明确来料、过程及出货的待检、部分完成、合格、不合格和可交接状态，关联检验明细及原单据。正常 消费有效判定约束实际领用和流转，与ERP结果对账。</w:t>
            </w:r>
          </w:p>
        </w:tc>
        <w:tc>
          <w:tcPr>
            <w:tcW w:w="3384" w:type="dxa"/>
            <w:shd w:val="clear" w:color="auto" w:fill="F1F5F8"/>
            <w:vAlign w:val="center"/>
          </w:tcPr>
          <w:p w14:paraId="548ABC15">
            <w:pPr>
              <w:spacing w:before="40" w:after="40" w:line="280" w:lineRule="exact"/>
            </w:pPr>
            <w:r>
              <w:rPr>
                <w:rFonts w:ascii="Arial Unicode MS" w:hAnsi="Arial Unicode MS" w:eastAsia="Arial Unicode MS"/>
                <w:b w:val="0"/>
                <w:color w:val="000000"/>
                <w:sz w:val="19"/>
              </w:rPr>
              <w:t>缺必检、补检未完成、部分数量或结果冲突显式控制；状态回写失败有重试及责任处理。</w:t>
            </w:r>
          </w:p>
        </w:tc>
        <w:tc>
          <w:tcPr>
            <w:tcW w:w="3528" w:type="dxa"/>
            <w:shd w:val="clear" w:color="auto" w:fill="F1F5F8"/>
            <w:vAlign w:val="center"/>
          </w:tcPr>
          <w:p w14:paraId="5BF9922E">
            <w:pPr>
              <w:spacing w:before="40" w:after="40" w:line="280" w:lineRule="exact"/>
            </w:pPr>
            <w:r>
              <w:rPr>
                <w:rFonts w:ascii="Arial Unicode MS" w:hAnsi="Arial Unicode MS" w:eastAsia="Arial Unicode MS"/>
                <w:b w:val="0"/>
                <w:color w:val="000000"/>
                <w:sz w:val="19"/>
              </w:rPr>
              <w:t>MES承接必要原始记录与执行约束，ERP保持检验及库存事务；制单、判定、审核与最终处置授权分开，独立QMS另评。</w:t>
            </w:r>
          </w:p>
        </w:tc>
        <w:tc>
          <w:tcPr>
            <w:tcW w:w="1440" w:type="dxa"/>
            <w:shd w:val="clear" w:color="auto" w:fill="F1F5F8"/>
            <w:vAlign w:val="center"/>
          </w:tcPr>
          <w:p w14:paraId="69AD260E">
            <w:pPr>
              <w:spacing w:before="40" w:after="40" w:line="280" w:lineRule="exact"/>
              <w:jc w:val="center"/>
            </w:pPr>
            <w:r>
              <w:rPr>
                <w:rFonts w:ascii="Arial Unicode MS" w:hAnsi="Arial Unicode MS" w:eastAsia="Arial Unicode MS"/>
                <w:b w:val="0"/>
                <w:color w:val="000000"/>
                <w:sz w:val="19"/>
              </w:rPr>
              <w:t>P0专家建议</w:t>
            </w:r>
          </w:p>
        </w:tc>
      </w:tr>
      <w:tr w14:paraId="06F5AFDB">
        <w:trPr>
          <w:cantSplit/>
          <w:jc w:val="center"/>
        </w:trPr>
        <w:tc>
          <w:tcPr>
            <w:tcW w:w="1656" w:type="dxa"/>
            <w:vAlign w:val="center"/>
          </w:tcPr>
          <w:p w14:paraId="36701DFB">
            <w:pPr>
              <w:spacing w:before="40" w:after="40" w:line="280" w:lineRule="exact"/>
            </w:pPr>
            <w:r>
              <w:rPr>
                <w:rFonts w:ascii="Arial Unicode MS" w:hAnsi="Arial Unicode MS" w:eastAsia="Arial Unicode MS"/>
                <w:b w:val="0"/>
                <w:color w:val="000000"/>
                <w:sz w:val="19"/>
              </w:rPr>
              <w:t>F64检验任务与原始记录电子化</w:t>
            </w:r>
          </w:p>
        </w:tc>
        <w:tc>
          <w:tcPr>
            <w:tcW w:w="3816" w:type="dxa"/>
            <w:vAlign w:val="center"/>
          </w:tcPr>
          <w:p w14:paraId="7BA947C4">
            <w:pPr>
              <w:spacing w:before="40" w:after="40" w:line="280" w:lineRule="exact"/>
            </w:pPr>
            <w:r>
              <w:rPr>
                <w:rFonts w:ascii="Arial Unicode MS" w:hAnsi="Arial Unicode MS" w:eastAsia="Arial Unicode MS"/>
                <w:b w:val="0"/>
                <w:color w:val="000000"/>
                <w:sz w:val="19"/>
              </w:rPr>
              <w:t>准备 关联深圳试点批准范围内的送检来源、对象、项目及表单。正常 结合欠料、交付、技能和在岗人工辅助排检，记录原始值、依据、人员、实际时间及必要量具，按原单回写。</w:t>
            </w:r>
          </w:p>
        </w:tc>
        <w:tc>
          <w:tcPr>
            <w:tcW w:w="3384" w:type="dxa"/>
            <w:vAlign w:val="center"/>
          </w:tcPr>
          <w:p w14:paraId="5E7056A6">
            <w:pPr>
              <w:spacing w:before="40" w:after="40" w:line="280" w:lineRule="exact"/>
            </w:pPr>
            <w:r>
              <w:rPr>
                <w:rFonts w:ascii="Arial Unicode MS" w:hAnsi="Arial Unicode MS" w:eastAsia="Arial Unicode MS"/>
                <w:b w:val="0"/>
                <w:color w:val="000000"/>
                <w:sz w:val="19"/>
              </w:rPr>
              <w:t>急料插入、并行、合检、分批、跨日及更正保留任务版本；每日完成与批次终态分层，合检结果不得表述为各来源均已逐件实测。</w:t>
            </w:r>
          </w:p>
        </w:tc>
        <w:tc>
          <w:tcPr>
            <w:tcW w:w="3528" w:type="dxa"/>
            <w:vAlign w:val="center"/>
          </w:tcPr>
          <w:p w14:paraId="62BACAAC">
            <w:pPr>
              <w:spacing w:before="40" w:after="40" w:line="280" w:lineRule="exact"/>
            </w:pPr>
            <w:r>
              <w:rPr>
                <w:rFonts w:ascii="Arial Unicode MS" w:hAnsi="Arial Unicode MS" w:eastAsia="Arial Unicode MS"/>
                <w:b w:val="0"/>
                <w:color w:val="000000"/>
                <w:sz w:val="19"/>
              </w:rPr>
              <w:t>复用模板和审批，由源记录生成日报，保留人工调整；不承诺自动最优排检或重建实验室系统。</w:t>
            </w:r>
          </w:p>
        </w:tc>
        <w:tc>
          <w:tcPr>
            <w:tcW w:w="1440" w:type="dxa"/>
            <w:vAlign w:val="center"/>
          </w:tcPr>
          <w:p w14:paraId="4800C70B">
            <w:pPr>
              <w:spacing w:before="40" w:after="40" w:line="280" w:lineRule="exact"/>
              <w:jc w:val="center"/>
            </w:pPr>
            <w:r>
              <w:rPr>
                <w:rFonts w:ascii="Arial Unicode MS" w:hAnsi="Arial Unicode MS" w:eastAsia="Arial Unicode MS"/>
                <w:b w:val="0"/>
                <w:color w:val="000000"/>
                <w:sz w:val="19"/>
              </w:rPr>
              <w:t>P0明确需求及专业细化</w:t>
            </w:r>
          </w:p>
        </w:tc>
      </w:tr>
      <w:tr w14:paraId="3705BEB5">
        <w:trPr>
          <w:cantSplit/>
          <w:jc w:val="center"/>
        </w:trPr>
        <w:tc>
          <w:tcPr>
            <w:tcW w:w="1656" w:type="dxa"/>
            <w:shd w:val="clear" w:color="auto" w:fill="F1F5F8"/>
            <w:vAlign w:val="center"/>
          </w:tcPr>
          <w:p w14:paraId="5551F491">
            <w:pPr>
              <w:spacing w:before="40" w:after="40" w:line="280" w:lineRule="exact"/>
            </w:pPr>
            <w:r>
              <w:rPr>
                <w:rFonts w:ascii="Arial Unicode MS" w:hAnsi="Arial Unicode MS" w:eastAsia="Arial Unicode MS"/>
                <w:b w:val="0"/>
                <w:color w:val="000000"/>
                <w:sz w:val="19"/>
              </w:rPr>
              <w:t>F65质量冻结与授权解除</w:t>
            </w:r>
          </w:p>
        </w:tc>
        <w:tc>
          <w:tcPr>
            <w:tcW w:w="3816" w:type="dxa"/>
            <w:shd w:val="clear" w:color="auto" w:fill="F1F5F8"/>
            <w:vAlign w:val="center"/>
          </w:tcPr>
          <w:p w14:paraId="24973B4E">
            <w:pPr>
              <w:spacing w:before="40" w:after="40" w:line="280" w:lineRule="exact"/>
            </w:pPr>
            <w:r>
              <w:rPr>
                <w:rFonts w:ascii="Arial Unicode MS" w:hAnsi="Arial Unicode MS" w:eastAsia="Arial Unicode MS"/>
                <w:b w:val="0"/>
                <w:color w:val="000000"/>
                <w:sz w:val="19"/>
              </w:rPr>
              <w:t>准备 定义来源批次、库存、在制和产品的控制粒度及授权。正常 按批准范围生成受影响对象清单，标记、限制领用/流转并记录执行回执。</w:t>
            </w:r>
          </w:p>
        </w:tc>
        <w:tc>
          <w:tcPr>
            <w:tcW w:w="3384" w:type="dxa"/>
            <w:shd w:val="clear" w:color="auto" w:fill="F1F5F8"/>
            <w:vAlign w:val="center"/>
          </w:tcPr>
          <w:p w14:paraId="6D9CED19">
            <w:pPr>
              <w:spacing w:before="40" w:after="40" w:line="280" w:lineRule="exact"/>
            </w:pPr>
            <w:r>
              <w:rPr>
                <w:rFonts w:ascii="Arial Unicode MS" w:hAnsi="Arial Unicode MS" w:eastAsia="Arial Unicode MS"/>
                <w:b w:val="0"/>
                <w:color w:val="000000"/>
                <w:sz w:val="19"/>
              </w:rPr>
              <w:t>支持部分数量、已投入和已发运等不同处置；冻结/解除失败、重复指令及超时应告警对账，未执行不能显示成功。</w:t>
            </w:r>
          </w:p>
        </w:tc>
        <w:tc>
          <w:tcPr>
            <w:tcW w:w="3528" w:type="dxa"/>
            <w:shd w:val="clear" w:color="auto" w:fill="F1F5F8"/>
            <w:vAlign w:val="center"/>
          </w:tcPr>
          <w:p w14:paraId="4D647876">
            <w:pPr>
              <w:spacing w:before="40" w:after="40" w:line="280" w:lineRule="exact"/>
            </w:pPr>
            <w:r>
              <w:rPr>
                <w:rFonts w:ascii="Arial Unicode MS" w:hAnsi="Arial Unicode MS" w:eastAsia="Arial Unicode MS"/>
                <w:b w:val="0"/>
                <w:color w:val="000000"/>
                <w:sz w:val="19"/>
              </w:rPr>
              <w:t>ERP库存冻结与MES制造限制按现有能力设计；质量判定、评审及最终处置授权保持现行边界。</w:t>
            </w:r>
          </w:p>
        </w:tc>
        <w:tc>
          <w:tcPr>
            <w:tcW w:w="1440" w:type="dxa"/>
            <w:shd w:val="clear" w:color="auto" w:fill="F1F5F8"/>
            <w:vAlign w:val="center"/>
          </w:tcPr>
          <w:p w14:paraId="06604DB3">
            <w:pPr>
              <w:spacing w:before="40" w:after="40" w:line="280" w:lineRule="exact"/>
              <w:jc w:val="center"/>
            </w:pPr>
            <w:r>
              <w:rPr>
                <w:rFonts w:ascii="Arial Unicode MS" w:hAnsi="Arial Unicode MS" w:eastAsia="Arial Unicode MS"/>
                <w:b w:val="0"/>
                <w:color w:val="000000"/>
                <w:sz w:val="19"/>
              </w:rPr>
              <w:t>P0专家建议</w:t>
            </w:r>
          </w:p>
        </w:tc>
      </w:tr>
      <w:tr w14:paraId="24A78C66">
        <w:trPr>
          <w:cantSplit/>
          <w:jc w:val="center"/>
        </w:trPr>
        <w:tc>
          <w:tcPr>
            <w:tcW w:w="1656" w:type="dxa"/>
            <w:vAlign w:val="center"/>
          </w:tcPr>
          <w:p w14:paraId="09B14382">
            <w:pPr>
              <w:spacing w:before="40" w:after="40" w:line="280" w:lineRule="exact"/>
            </w:pPr>
            <w:r>
              <w:rPr>
                <w:rFonts w:ascii="Arial Unicode MS" w:hAnsi="Arial Unicode MS" w:eastAsia="Arial Unicode MS"/>
                <w:b w:val="0"/>
                <w:color w:val="000000"/>
                <w:sz w:val="19"/>
              </w:rPr>
              <w:t>F66质量问题与8D取证协同</w:t>
            </w:r>
          </w:p>
        </w:tc>
        <w:tc>
          <w:tcPr>
            <w:tcW w:w="3816" w:type="dxa"/>
            <w:vAlign w:val="center"/>
          </w:tcPr>
          <w:p w14:paraId="044B99F3">
            <w:pPr>
              <w:spacing w:before="40" w:after="40" w:line="280" w:lineRule="exact"/>
            </w:pPr>
            <w:r>
              <w:rPr>
                <w:rFonts w:ascii="Arial Unicode MS" w:hAnsi="Arial Unicode MS" w:eastAsia="Arial Unicode MS"/>
                <w:b w:val="0"/>
                <w:color w:val="000000"/>
                <w:sz w:val="19"/>
              </w:rPr>
              <w:t>准备 复用F24问题身份，约定责任、证据及报告版本。正常 向飞书8D关联检验、用料、测试、维修和处置证据，反复问题可追踪。</w:t>
            </w:r>
          </w:p>
        </w:tc>
        <w:tc>
          <w:tcPr>
            <w:tcW w:w="3384" w:type="dxa"/>
            <w:vAlign w:val="center"/>
          </w:tcPr>
          <w:p w14:paraId="02B09BBF">
            <w:pPr>
              <w:spacing w:before="40" w:after="40" w:line="280" w:lineRule="exact"/>
            </w:pPr>
            <w:r>
              <w:rPr>
                <w:rFonts w:ascii="Arial Unicode MS" w:hAnsi="Arial Unicode MS" w:eastAsia="Arial Unicode MS"/>
                <w:b w:val="0"/>
                <w:color w:val="000000"/>
                <w:sz w:val="19"/>
              </w:rPr>
              <w:t>报告更正、退回、补证和权限变化留记录；措施完成与效果验证分别记录，审批通过不自动等于有效。</w:t>
            </w:r>
          </w:p>
        </w:tc>
        <w:tc>
          <w:tcPr>
            <w:tcW w:w="3528" w:type="dxa"/>
            <w:vAlign w:val="center"/>
          </w:tcPr>
          <w:p w14:paraId="36AA101C">
            <w:pPr>
              <w:spacing w:before="40" w:after="40" w:line="280" w:lineRule="exact"/>
            </w:pPr>
            <w:r>
              <w:rPr>
                <w:rFonts w:ascii="Arial Unicode MS" w:hAnsi="Arial Unicode MS" w:eastAsia="Arial Unicode MS"/>
                <w:b w:val="0"/>
                <w:color w:val="000000"/>
                <w:sz w:val="19"/>
              </w:rPr>
              <w:t>飞书继续承接8D审批与签署；电子签署的授权规则独立核定，MES不自动盖章。</w:t>
            </w:r>
          </w:p>
        </w:tc>
        <w:tc>
          <w:tcPr>
            <w:tcW w:w="1440" w:type="dxa"/>
            <w:vAlign w:val="center"/>
          </w:tcPr>
          <w:p w14:paraId="172236AD">
            <w:pPr>
              <w:spacing w:before="40" w:after="40" w:line="280" w:lineRule="exact"/>
              <w:jc w:val="center"/>
            </w:pPr>
            <w:r>
              <w:rPr>
                <w:rFonts w:ascii="Arial Unicode MS" w:hAnsi="Arial Unicode MS" w:eastAsia="Arial Unicode MS"/>
                <w:b w:val="0"/>
                <w:color w:val="000000"/>
                <w:sz w:val="19"/>
              </w:rPr>
              <w:t>P1明确需求及专业细化</w:t>
            </w:r>
          </w:p>
        </w:tc>
      </w:tr>
      <w:tr w14:paraId="68A0F465">
        <w:trPr>
          <w:cantSplit/>
          <w:jc w:val="center"/>
        </w:trPr>
        <w:tc>
          <w:tcPr>
            <w:tcW w:w="1656" w:type="dxa"/>
            <w:shd w:val="clear" w:color="auto" w:fill="F1F5F8"/>
            <w:vAlign w:val="center"/>
          </w:tcPr>
          <w:p w14:paraId="6EEFDF31">
            <w:pPr>
              <w:spacing w:before="40" w:after="40" w:line="280" w:lineRule="exact"/>
            </w:pPr>
            <w:r>
              <w:rPr>
                <w:rFonts w:ascii="Arial Unicode MS" w:hAnsi="Arial Unicode MS" w:eastAsia="Arial Unicode MS"/>
                <w:b w:val="0"/>
                <w:color w:val="000000"/>
                <w:sz w:val="19"/>
              </w:rPr>
              <w:t>F67适用质量统计与SPC</w:t>
            </w:r>
          </w:p>
        </w:tc>
        <w:tc>
          <w:tcPr>
            <w:tcW w:w="3816" w:type="dxa"/>
            <w:shd w:val="clear" w:color="auto" w:fill="F1F5F8"/>
            <w:vAlign w:val="center"/>
          </w:tcPr>
          <w:p w14:paraId="00E178B5">
            <w:pPr>
              <w:spacing w:before="40" w:after="40" w:line="280" w:lineRule="exact"/>
            </w:pPr>
            <w:r>
              <w:rPr>
                <w:rFonts w:ascii="Arial Unicode MS" w:hAnsi="Arial Unicode MS" w:eastAsia="Arial Unicode MS"/>
                <w:b w:val="0"/>
                <w:color w:val="000000"/>
                <w:sz w:val="19"/>
              </w:rPr>
              <w:t>准备 选择适用特性，统一版本、单位、样本与过程分组。正常 在稳定原始数据上进行趋势、控制图及适用能力分析，关联异常和措施验证。</w:t>
            </w:r>
          </w:p>
        </w:tc>
        <w:tc>
          <w:tcPr>
            <w:tcW w:w="3384" w:type="dxa"/>
            <w:shd w:val="clear" w:color="auto" w:fill="F1F5F8"/>
            <w:vAlign w:val="center"/>
          </w:tcPr>
          <w:p w14:paraId="7FA53F61">
            <w:pPr>
              <w:spacing w:before="40" w:after="40" w:line="280" w:lineRule="exact"/>
            </w:pPr>
            <w:r>
              <w:rPr>
                <w:rFonts w:ascii="Arial Unicode MS" w:hAnsi="Arial Unicode MS" w:eastAsia="Arial Unicode MS"/>
                <w:b w:val="0"/>
                <w:color w:val="000000"/>
                <w:sz w:val="19"/>
              </w:rPr>
              <w:t>小样本、不同型号/工艺、量测异常和非稳定过程显式提示，不混并后直接判定能力。</w:t>
            </w:r>
          </w:p>
        </w:tc>
        <w:tc>
          <w:tcPr>
            <w:tcW w:w="3528" w:type="dxa"/>
            <w:shd w:val="clear" w:color="auto" w:fill="F1F5F8"/>
            <w:vAlign w:val="center"/>
          </w:tcPr>
          <w:p w14:paraId="0748B9D4">
            <w:pPr>
              <w:spacing w:before="40" w:after="40" w:line="280" w:lineRule="exact"/>
            </w:pPr>
            <w:r>
              <w:rPr>
                <w:rFonts w:ascii="Arial Unicode MS" w:hAnsi="Arial Unicode MS" w:eastAsia="Arial Unicode MS"/>
                <w:b w:val="0"/>
                <w:color w:val="000000"/>
                <w:sz w:val="19"/>
              </w:rPr>
              <w:t>后续条件需求；不承诺所有项目适用SPC，不将独立QMS采购作为前提。</w:t>
            </w:r>
          </w:p>
        </w:tc>
        <w:tc>
          <w:tcPr>
            <w:tcW w:w="1440" w:type="dxa"/>
            <w:shd w:val="clear" w:color="auto" w:fill="F1F5F8"/>
            <w:vAlign w:val="center"/>
          </w:tcPr>
          <w:p w14:paraId="294AB1C6">
            <w:pPr>
              <w:spacing w:before="40" w:after="40" w:line="280" w:lineRule="exact"/>
              <w:jc w:val="center"/>
            </w:pPr>
            <w:r>
              <w:rPr>
                <w:rFonts w:ascii="Arial Unicode MS" w:hAnsi="Arial Unicode MS" w:eastAsia="Arial Unicode MS"/>
                <w:b w:val="0"/>
                <w:color w:val="000000"/>
                <w:sz w:val="19"/>
              </w:rPr>
              <w:t>P2条件需求</w:t>
            </w:r>
          </w:p>
        </w:tc>
      </w:tr>
    </w:tbl>
    <w:p w14:paraId="2C997AF0">
      <w:pPr>
        <w:pStyle w:val="5"/>
      </w:pPr>
      <w:r>
        <w:rPr>
          <w:rFonts w:ascii="Arial Unicode MS" w:hAnsi="Arial Unicode MS" w:eastAsia="Arial Unicode MS"/>
          <w:color w:val="000000"/>
        </w:rPr>
        <w:t>M07 设备工装与维护执行</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37CA1E20">
        <w:trPr>
          <w:cantSplit/>
          <w:tblHeader/>
          <w:jc w:val="center"/>
        </w:trPr>
        <w:tc>
          <w:tcPr>
            <w:tcW w:w="1656" w:type="dxa"/>
            <w:shd w:val="clear" w:color="auto" w:fill="234A68"/>
            <w:vAlign w:val="center"/>
          </w:tcPr>
          <w:p w14:paraId="1677FF5B">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4CF40787">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26FF4954">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7249050E">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01335D3B">
            <w:pPr>
              <w:keepNext/>
              <w:spacing w:before="40" w:after="40" w:line="280" w:lineRule="exact"/>
              <w:jc w:val="center"/>
            </w:pPr>
            <w:r>
              <w:rPr>
                <w:rFonts w:ascii="Arial Unicode MS" w:hAnsi="Arial Unicode MS" w:eastAsia="Arial Unicode MS"/>
                <w:b/>
                <w:color w:val="FFFFFF"/>
                <w:sz w:val="19"/>
              </w:rPr>
              <w:t>优先级与依据</w:t>
            </w:r>
          </w:p>
        </w:tc>
      </w:tr>
      <w:tr w14:paraId="496D5709">
        <w:trPr>
          <w:cantSplit/>
          <w:jc w:val="center"/>
        </w:trPr>
        <w:tc>
          <w:tcPr>
            <w:tcW w:w="1656" w:type="dxa"/>
            <w:vAlign w:val="center"/>
          </w:tcPr>
          <w:p w14:paraId="755C493D">
            <w:pPr>
              <w:spacing w:before="40" w:after="40" w:line="280" w:lineRule="exact"/>
            </w:pPr>
            <w:r>
              <w:rPr>
                <w:rFonts w:ascii="Arial Unicode MS" w:hAnsi="Arial Unicode MS" w:eastAsia="Arial Unicode MS"/>
                <w:b w:val="0"/>
                <w:color w:val="000000"/>
                <w:sz w:val="19"/>
              </w:rPr>
              <w:t>F44</w:t>
            </w:r>
            <w:r>
              <w:br w:type="textWrapping"/>
            </w:r>
            <w:r>
              <w:rPr>
                <w:rFonts w:ascii="Arial Unicode MS" w:hAnsi="Arial Unicode MS" w:eastAsia="Arial Unicode MS"/>
                <w:b w:val="0"/>
                <w:color w:val="000000"/>
                <w:sz w:val="19"/>
              </w:rPr>
              <w:t>点检、保养与维修执行</w:t>
            </w:r>
          </w:p>
        </w:tc>
        <w:tc>
          <w:tcPr>
            <w:tcW w:w="3816" w:type="dxa"/>
            <w:vAlign w:val="center"/>
          </w:tcPr>
          <w:p w14:paraId="4336DCEE">
            <w:pPr>
              <w:spacing w:before="40" w:after="40" w:line="280" w:lineRule="exact"/>
            </w:pPr>
            <w:r>
              <w:rPr>
                <w:rFonts w:ascii="Arial Unicode MS" w:hAnsi="Arial Unicode MS" w:eastAsia="Arial Unicode MS"/>
                <w:b w:val="0"/>
                <w:color w:val="000000"/>
                <w:sz w:val="19"/>
              </w:rPr>
              <w:t>准备 承接已有保养规范，按设备风险设定计划及责任。</w:t>
            </w:r>
            <w:r>
              <w:br w:type="textWrapping"/>
            </w:r>
            <w:r>
              <w:rPr>
                <w:rFonts w:ascii="Arial Unicode MS" w:hAnsi="Arial Unicode MS" w:eastAsia="Arial Unicode MS"/>
                <w:b w:val="0"/>
                <w:color w:val="000000"/>
                <w:sz w:val="19"/>
              </w:rPr>
              <w:t>正常 记录点检/保养执行、故障报修、维修及恢复，保留实际时间。</w:t>
            </w:r>
          </w:p>
        </w:tc>
        <w:tc>
          <w:tcPr>
            <w:tcW w:w="3384" w:type="dxa"/>
            <w:vAlign w:val="center"/>
          </w:tcPr>
          <w:p w14:paraId="669AA8BE">
            <w:pPr>
              <w:spacing w:before="40" w:after="40" w:line="280" w:lineRule="exact"/>
            </w:pPr>
            <w:r>
              <w:rPr>
                <w:rFonts w:ascii="Arial Unicode MS" w:hAnsi="Arial Unicode MS" w:eastAsia="Arial Unicode MS"/>
                <w:b w:val="0"/>
                <w:color w:val="000000"/>
                <w:sz w:val="19"/>
              </w:rPr>
              <w:t>逾期、异常点检和维修未恢复对象有提醒及可用状态。</w:t>
            </w:r>
          </w:p>
        </w:tc>
        <w:tc>
          <w:tcPr>
            <w:tcW w:w="3528" w:type="dxa"/>
            <w:vAlign w:val="center"/>
          </w:tcPr>
          <w:p w14:paraId="23072D1E">
            <w:pPr>
              <w:spacing w:before="40" w:after="40" w:line="280" w:lineRule="exact"/>
            </w:pPr>
            <w:r>
              <w:rPr>
                <w:rFonts w:ascii="Arial Unicode MS" w:hAnsi="Arial Unicode MS" w:eastAsia="Arial Unicode MS"/>
                <w:b w:val="0"/>
                <w:color w:val="000000"/>
                <w:sz w:val="19"/>
              </w:rPr>
              <w:t>复用已有保养规范；完整EAM和备件采购独立安排。</w:t>
            </w:r>
          </w:p>
        </w:tc>
        <w:tc>
          <w:tcPr>
            <w:tcW w:w="1440" w:type="dxa"/>
            <w:vAlign w:val="center"/>
          </w:tcPr>
          <w:p w14:paraId="33BCE583">
            <w:pPr>
              <w:spacing w:before="40" w:after="40" w:line="280" w:lineRule="exact"/>
              <w:jc w:val="center"/>
            </w:pPr>
            <w:r>
              <w:rPr>
                <w:rFonts w:ascii="Arial Unicode MS" w:hAnsi="Arial Unicode MS" w:eastAsia="Arial Unicode MS"/>
                <w:b w:val="0"/>
                <w:color w:val="000000"/>
                <w:sz w:val="19"/>
              </w:rPr>
              <w:t>P1</w:t>
            </w:r>
            <w:r>
              <w:br w:type="textWrapping"/>
            </w:r>
            <w:r>
              <w:rPr>
                <w:rFonts w:ascii="Arial Unicode MS" w:hAnsi="Arial Unicode MS" w:eastAsia="Arial Unicode MS"/>
                <w:b w:val="0"/>
                <w:color w:val="000000"/>
                <w:sz w:val="19"/>
              </w:rPr>
              <w:t>条件需求</w:t>
            </w:r>
          </w:p>
        </w:tc>
      </w:tr>
      <w:tr w14:paraId="306E16CC">
        <w:trPr>
          <w:cantSplit/>
          <w:jc w:val="center"/>
        </w:trPr>
        <w:tc>
          <w:tcPr>
            <w:tcW w:w="1656" w:type="dxa"/>
            <w:shd w:val="clear" w:color="auto" w:fill="F1F5F8"/>
            <w:vAlign w:val="center"/>
          </w:tcPr>
          <w:p w14:paraId="6CE1FD62">
            <w:pPr>
              <w:spacing w:before="40" w:after="40" w:line="280" w:lineRule="exact"/>
            </w:pPr>
            <w:r>
              <w:rPr>
                <w:rFonts w:ascii="Arial Unicode MS" w:hAnsi="Arial Unicode MS" w:eastAsia="Arial Unicode MS"/>
                <w:b w:val="0"/>
                <w:color w:val="000000"/>
                <w:sz w:val="19"/>
              </w:rPr>
              <w:t>F62</w:t>
            </w:r>
            <w:r>
              <w:br w:type="textWrapping"/>
            </w:r>
            <w:r>
              <w:rPr>
                <w:rFonts w:ascii="Arial Unicode MS" w:hAnsi="Arial Unicode MS" w:eastAsia="Arial Unicode MS"/>
                <w:b w:val="0"/>
                <w:color w:val="000000"/>
                <w:sz w:val="19"/>
              </w:rPr>
              <w:t>资源故障与制造任务联动</w:t>
            </w:r>
          </w:p>
        </w:tc>
        <w:tc>
          <w:tcPr>
            <w:tcW w:w="3816" w:type="dxa"/>
            <w:shd w:val="clear" w:color="auto" w:fill="F1F5F8"/>
            <w:vAlign w:val="center"/>
          </w:tcPr>
          <w:p w14:paraId="4D471310">
            <w:pPr>
              <w:spacing w:before="40" w:after="40" w:line="280" w:lineRule="exact"/>
            </w:pPr>
            <w:r>
              <w:rPr>
                <w:rFonts w:ascii="Arial Unicode MS" w:hAnsi="Arial Unicode MS" w:eastAsia="Arial Unicode MS"/>
                <w:b w:val="0"/>
                <w:color w:val="000000"/>
                <w:sz w:val="19"/>
              </w:rPr>
              <w:t>准备 将设备/工具标识与作业工位、任务关联。</w:t>
            </w:r>
            <w:r>
              <w:br w:type="textWrapping"/>
            </w:r>
            <w:r>
              <w:rPr>
                <w:rFonts w:ascii="Arial Unicode MS" w:hAnsi="Arial Unicode MS" w:eastAsia="Arial Unicode MS"/>
                <w:b w:val="0"/>
                <w:color w:val="000000"/>
                <w:sz w:val="19"/>
              </w:rPr>
              <w:t>正常 报修和恢复信息可被现场及计划查看，受影响任务状态明确。</w:t>
            </w:r>
          </w:p>
        </w:tc>
        <w:tc>
          <w:tcPr>
            <w:tcW w:w="3384" w:type="dxa"/>
            <w:shd w:val="clear" w:color="auto" w:fill="F1F5F8"/>
            <w:vAlign w:val="center"/>
          </w:tcPr>
          <w:p w14:paraId="7FA44F3A">
            <w:pPr>
              <w:spacing w:before="40" w:after="40" w:line="280" w:lineRule="exact"/>
            </w:pPr>
            <w:r>
              <w:rPr>
                <w:rFonts w:ascii="Arial Unicode MS" w:hAnsi="Arial Unicode MS" w:eastAsia="Arial Unicode MS"/>
                <w:b w:val="0"/>
                <w:color w:val="000000"/>
                <w:sz w:val="19"/>
              </w:rPr>
              <w:t>故障期间按批准规则暂停、切换或人工处理；未经恢复确认不得误报资源可用。</w:t>
            </w:r>
          </w:p>
        </w:tc>
        <w:tc>
          <w:tcPr>
            <w:tcW w:w="3528" w:type="dxa"/>
            <w:shd w:val="clear" w:color="auto" w:fill="F1F5F8"/>
            <w:vAlign w:val="center"/>
          </w:tcPr>
          <w:p w14:paraId="787040D4">
            <w:pPr>
              <w:spacing w:before="40" w:after="40" w:line="280" w:lineRule="exact"/>
            </w:pPr>
            <w:r>
              <w:rPr>
                <w:rFonts w:ascii="Arial Unicode MS" w:hAnsi="Arial Unicode MS" w:eastAsia="Arial Unicode MS"/>
                <w:b w:val="0"/>
                <w:color w:val="000000"/>
                <w:sz w:val="19"/>
              </w:rPr>
              <w:t>不承诺预测维护或自动重排，具体资源范围按试点批准。</w:t>
            </w:r>
          </w:p>
        </w:tc>
        <w:tc>
          <w:tcPr>
            <w:tcW w:w="1440" w:type="dxa"/>
            <w:shd w:val="clear" w:color="auto" w:fill="F1F5F8"/>
            <w:vAlign w:val="center"/>
          </w:tcPr>
          <w:p w14:paraId="2D4348E3">
            <w:pPr>
              <w:spacing w:before="40" w:after="40" w:line="280" w:lineRule="exact"/>
              <w:jc w:val="center"/>
            </w:pPr>
            <w:r>
              <w:rPr>
                <w:rFonts w:ascii="Arial Unicode MS" w:hAnsi="Arial Unicode MS" w:eastAsia="Arial Unicode MS"/>
                <w:b w:val="0"/>
                <w:color w:val="000000"/>
                <w:sz w:val="19"/>
              </w:rPr>
              <w:t>P1</w:t>
            </w:r>
            <w:r>
              <w:br w:type="textWrapping"/>
            </w:r>
            <w:r>
              <w:rPr>
                <w:rFonts w:ascii="Arial Unicode MS" w:hAnsi="Arial Unicode MS" w:eastAsia="Arial Unicode MS"/>
                <w:b w:val="0"/>
                <w:color w:val="000000"/>
                <w:sz w:val="19"/>
              </w:rPr>
              <w:t>专家建议</w:t>
            </w:r>
          </w:p>
        </w:tc>
      </w:tr>
    </w:tbl>
    <w:p w14:paraId="2705D2E4">
      <w:pPr>
        <w:pStyle w:val="5"/>
      </w:pPr>
      <w:r>
        <w:rPr>
          <w:rFonts w:ascii="Arial Unicode MS" w:hAnsi="Arial Unicode MS" w:eastAsia="Arial Unicode MS"/>
          <w:color w:val="000000"/>
        </w:rPr>
        <w:t>M08 设备集成与现场数据采集</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6AF2912E">
        <w:trPr>
          <w:cantSplit/>
          <w:tblHeader/>
          <w:jc w:val="center"/>
        </w:trPr>
        <w:tc>
          <w:tcPr>
            <w:tcW w:w="1656" w:type="dxa"/>
            <w:shd w:val="clear" w:color="auto" w:fill="234A68"/>
            <w:vAlign w:val="center"/>
          </w:tcPr>
          <w:p w14:paraId="50CB9F31">
            <w:pPr>
              <w:keepNext/>
              <w:spacing w:before="40" w:after="40" w:line="280" w:lineRule="exact"/>
              <w:jc w:val="center"/>
            </w:pPr>
            <w:r>
              <w:rPr>
                <w:rFonts w:ascii="Arial Unicode MS" w:hAnsi="Arial Unicode MS" w:eastAsia="Arial Unicode MS"/>
                <w:b/>
                <w:color w:val="FFFFFF"/>
                <w:sz w:val="20"/>
              </w:rPr>
              <w:t>编号与功能</w:t>
            </w:r>
          </w:p>
        </w:tc>
        <w:tc>
          <w:tcPr>
            <w:tcW w:w="3816" w:type="dxa"/>
            <w:shd w:val="clear" w:color="auto" w:fill="234A68"/>
            <w:vAlign w:val="center"/>
          </w:tcPr>
          <w:p w14:paraId="2E9213B1">
            <w:pPr>
              <w:keepNext/>
              <w:spacing w:before="40" w:after="40" w:line="280" w:lineRule="exact"/>
              <w:jc w:val="center"/>
            </w:pPr>
            <w:r>
              <w:rPr>
                <w:rFonts w:ascii="Arial Unicode MS" w:hAnsi="Arial Unicode MS" w:eastAsia="Arial Unicode MS"/>
                <w:b/>
                <w:color w:val="FFFFFF"/>
                <w:sz w:val="20"/>
              </w:rPr>
              <w:t>生产准备及正常场景</w:t>
            </w:r>
          </w:p>
        </w:tc>
        <w:tc>
          <w:tcPr>
            <w:tcW w:w="3384" w:type="dxa"/>
            <w:shd w:val="clear" w:color="auto" w:fill="234A68"/>
            <w:vAlign w:val="center"/>
          </w:tcPr>
          <w:p w14:paraId="6878D6DB">
            <w:pPr>
              <w:keepNext/>
              <w:spacing w:before="40" w:after="40" w:line="280" w:lineRule="exact"/>
              <w:jc w:val="center"/>
            </w:pPr>
            <w:r>
              <w:rPr>
                <w:rFonts w:ascii="Arial Unicode MS" w:hAnsi="Arial Unicode MS" w:eastAsia="Arial Unicode MS"/>
                <w:b/>
                <w:color w:val="FFFFFF"/>
                <w:sz w:val="20"/>
              </w:rPr>
              <w:t>异常及控制</w:t>
            </w:r>
          </w:p>
        </w:tc>
        <w:tc>
          <w:tcPr>
            <w:tcW w:w="3528" w:type="dxa"/>
            <w:shd w:val="clear" w:color="auto" w:fill="234A68"/>
            <w:vAlign w:val="center"/>
          </w:tcPr>
          <w:p w14:paraId="3B1DDA2F">
            <w:pPr>
              <w:keepNext/>
              <w:spacing w:before="40" w:after="40" w:line="280" w:lineRule="exact"/>
              <w:jc w:val="center"/>
            </w:pPr>
            <w:r>
              <w:rPr>
                <w:rFonts w:ascii="Arial Unicode MS" w:hAnsi="Arial Unicode MS" w:eastAsia="Arial Unicode MS"/>
                <w:b/>
                <w:color w:val="FFFFFF"/>
                <w:sz w:val="20"/>
              </w:rPr>
              <w:t>MES边界</w:t>
            </w:r>
          </w:p>
        </w:tc>
        <w:tc>
          <w:tcPr>
            <w:tcW w:w="1440" w:type="dxa"/>
            <w:shd w:val="clear" w:color="auto" w:fill="234A68"/>
            <w:vAlign w:val="center"/>
          </w:tcPr>
          <w:p w14:paraId="7FC257CD">
            <w:pPr>
              <w:keepNext/>
              <w:spacing w:before="40" w:after="40" w:line="280" w:lineRule="exact"/>
              <w:jc w:val="center"/>
            </w:pPr>
            <w:r>
              <w:rPr>
                <w:rFonts w:ascii="Arial Unicode MS" w:hAnsi="Arial Unicode MS" w:eastAsia="Arial Unicode MS"/>
                <w:b/>
                <w:color w:val="FFFFFF"/>
                <w:sz w:val="20"/>
              </w:rPr>
              <w:t>优先级与依据</w:t>
            </w:r>
          </w:p>
        </w:tc>
      </w:tr>
      <w:tr w14:paraId="43755E07">
        <w:trPr>
          <w:cantSplit/>
          <w:jc w:val="center"/>
        </w:trPr>
        <w:tc>
          <w:tcPr>
            <w:tcW w:w="1656" w:type="dxa"/>
            <w:vAlign w:val="center"/>
          </w:tcPr>
          <w:p w14:paraId="3EC001AE">
            <w:pPr>
              <w:spacing w:before="40" w:after="40" w:line="280" w:lineRule="exact"/>
            </w:pPr>
            <w:r>
              <w:rPr>
                <w:rFonts w:ascii="Arial Unicode MS" w:hAnsi="Arial Unicode MS" w:eastAsia="Arial Unicode MS"/>
                <w:b w:val="0"/>
                <w:color w:val="000000"/>
                <w:sz w:val="20"/>
              </w:rPr>
              <w:t>F46测试及现场工具连接</w:t>
            </w:r>
          </w:p>
        </w:tc>
        <w:tc>
          <w:tcPr>
            <w:tcW w:w="3816" w:type="dxa"/>
            <w:vAlign w:val="center"/>
          </w:tcPr>
          <w:p w14:paraId="07075B00">
            <w:pPr>
              <w:spacing w:before="40" w:after="40" w:line="280" w:lineRule="exact"/>
            </w:pPr>
            <w:r>
              <w:rPr>
                <w:rFonts w:ascii="Arial Unicode MS" w:hAnsi="Arial Unicode MS" w:eastAsia="Arial Unicode MS"/>
                <w:b w:val="0"/>
                <w:color w:val="000000"/>
                <w:sz w:val="20"/>
              </w:rPr>
              <w:t>准备 按工位列测试软件、量具、终端、网络和接口清单。正常 联网测试优先接入，离线量具或检验项目便捷受控录入，保留来源及原始时间。</w:t>
            </w:r>
          </w:p>
        </w:tc>
        <w:tc>
          <w:tcPr>
            <w:tcW w:w="3384" w:type="dxa"/>
            <w:vAlign w:val="center"/>
          </w:tcPr>
          <w:p w14:paraId="1CE40B2E">
            <w:pPr>
              <w:spacing w:before="40" w:after="40" w:line="280" w:lineRule="exact"/>
            </w:pPr>
            <w:r>
              <w:rPr>
                <w:rFonts w:ascii="Arial Unicode MS" w:hAnsi="Arial Unicode MS" w:eastAsia="Arial Unicode MS"/>
                <w:b w:val="0"/>
                <w:color w:val="000000"/>
                <w:sz w:val="20"/>
              </w:rPr>
              <w:t>采集失败、重复、离线和人工修正可追踪，缺失数据不能静默视为合格。</w:t>
            </w:r>
          </w:p>
        </w:tc>
        <w:tc>
          <w:tcPr>
            <w:tcW w:w="3528" w:type="dxa"/>
            <w:vAlign w:val="center"/>
          </w:tcPr>
          <w:p w14:paraId="5F41563F">
            <w:pPr>
              <w:spacing w:before="40" w:after="40" w:line="280" w:lineRule="exact"/>
            </w:pPr>
            <w:r>
              <w:rPr>
                <w:rFonts w:ascii="Arial Unicode MS" w:hAnsi="Arial Unicode MS" w:eastAsia="Arial Unicode MS"/>
                <w:b w:val="0"/>
                <w:color w:val="000000"/>
                <w:sz w:val="20"/>
              </w:rPr>
              <w:t>不重建现有产测控制逻辑；装配量具深圳试点不一律强制联网。</w:t>
            </w:r>
          </w:p>
        </w:tc>
        <w:tc>
          <w:tcPr>
            <w:tcW w:w="1440" w:type="dxa"/>
            <w:vAlign w:val="center"/>
          </w:tcPr>
          <w:p w14:paraId="2A2C5365">
            <w:pPr>
              <w:spacing w:before="40" w:after="40" w:line="280" w:lineRule="exact"/>
              <w:jc w:val="center"/>
            </w:pPr>
            <w:r>
              <w:rPr>
                <w:rFonts w:ascii="Arial Unicode MS" w:hAnsi="Arial Unicode MS" w:eastAsia="Arial Unicode MS"/>
                <w:b w:val="0"/>
                <w:color w:val="000000"/>
                <w:sz w:val="20"/>
              </w:rPr>
              <w:t>P0明确需求</w:t>
            </w:r>
          </w:p>
        </w:tc>
      </w:tr>
      <w:tr w14:paraId="18650EF6">
        <w:trPr>
          <w:cantSplit/>
          <w:jc w:val="center"/>
        </w:trPr>
        <w:tc>
          <w:tcPr>
            <w:tcW w:w="1656" w:type="dxa"/>
            <w:shd w:val="clear" w:color="auto" w:fill="F1F5F8"/>
            <w:vAlign w:val="center"/>
          </w:tcPr>
          <w:p w14:paraId="0AD6780E">
            <w:pPr>
              <w:spacing w:before="40" w:after="40" w:line="280" w:lineRule="exact"/>
            </w:pPr>
            <w:r>
              <w:rPr>
                <w:rFonts w:ascii="Arial Unicode MS" w:hAnsi="Arial Unicode MS" w:eastAsia="Arial Unicode MS"/>
                <w:b w:val="0"/>
                <w:color w:val="000000"/>
                <w:sz w:val="20"/>
              </w:rPr>
              <w:t>F63采集语义及业务上下文</w:t>
            </w:r>
          </w:p>
        </w:tc>
        <w:tc>
          <w:tcPr>
            <w:tcW w:w="3816" w:type="dxa"/>
            <w:shd w:val="clear" w:color="auto" w:fill="F1F5F8"/>
            <w:vAlign w:val="center"/>
          </w:tcPr>
          <w:p w14:paraId="1F175856">
            <w:pPr>
              <w:spacing w:before="40" w:after="40" w:line="280" w:lineRule="exact"/>
            </w:pPr>
            <w:r>
              <w:rPr>
                <w:rFonts w:ascii="Arial Unicode MS" w:hAnsi="Arial Unicode MS" w:eastAsia="Arial Unicode MS"/>
                <w:b w:val="0"/>
                <w:color w:val="000000"/>
                <w:sz w:val="20"/>
              </w:rPr>
              <w:t>准备 定义事件ID、SN/工单、工序、工位、设备、原始时间、单位和版本映射。正常 采集记录可定位业务对象并与原始测试文件关联。</w:t>
            </w:r>
          </w:p>
        </w:tc>
        <w:tc>
          <w:tcPr>
            <w:tcW w:w="3384" w:type="dxa"/>
            <w:shd w:val="clear" w:color="auto" w:fill="F1F5F8"/>
            <w:vAlign w:val="center"/>
          </w:tcPr>
          <w:p w14:paraId="7C4DD9E3">
            <w:pPr>
              <w:spacing w:before="40" w:after="40" w:line="280" w:lineRule="exact"/>
            </w:pPr>
            <w:r>
              <w:rPr>
                <w:rFonts w:ascii="Arial Unicode MS" w:hAnsi="Arial Unicode MS" w:eastAsia="Arial Unicode MS"/>
                <w:b w:val="0"/>
                <w:color w:val="000000"/>
                <w:sz w:val="20"/>
              </w:rPr>
              <w:t>时钟异常、身份冲突、缺项和不合理值进入待处理清单，原始记录不被静默改写。</w:t>
            </w:r>
          </w:p>
        </w:tc>
        <w:tc>
          <w:tcPr>
            <w:tcW w:w="3528" w:type="dxa"/>
            <w:shd w:val="clear" w:color="auto" w:fill="F1F5F8"/>
            <w:vAlign w:val="center"/>
          </w:tcPr>
          <w:p w14:paraId="6EF02A07">
            <w:pPr>
              <w:spacing w:before="40" w:after="40" w:line="280" w:lineRule="exact"/>
            </w:pPr>
            <w:r>
              <w:rPr>
                <w:rFonts w:ascii="Arial Unicode MS" w:hAnsi="Arial Unicode MS" w:eastAsia="Arial Unicode MS"/>
                <w:b w:val="0"/>
                <w:color w:val="000000"/>
                <w:sz w:val="20"/>
              </w:rPr>
              <w:t>接入对象、设备协议及采集点以批准清单为准，按现场能力分步实施。</w:t>
            </w:r>
          </w:p>
        </w:tc>
        <w:tc>
          <w:tcPr>
            <w:tcW w:w="1440" w:type="dxa"/>
            <w:shd w:val="clear" w:color="auto" w:fill="F1F5F8"/>
            <w:vAlign w:val="center"/>
          </w:tcPr>
          <w:p w14:paraId="5AEBED10">
            <w:pPr>
              <w:spacing w:before="40" w:after="40" w:line="280" w:lineRule="exact"/>
              <w:jc w:val="center"/>
            </w:pPr>
            <w:r>
              <w:rPr>
                <w:rFonts w:ascii="Arial Unicode MS" w:hAnsi="Arial Unicode MS" w:eastAsia="Arial Unicode MS"/>
                <w:b w:val="0"/>
                <w:color w:val="000000"/>
                <w:sz w:val="20"/>
              </w:rPr>
              <w:t>P0专家建议</w:t>
            </w:r>
          </w:p>
        </w:tc>
      </w:tr>
    </w:tbl>
    <w:p w14:paraId="7E448810">
      <w:pPr>
        <w:pStyle w:val="5"/>
      </w:pPr>
      <w:r>
        <w:rPr>
          <w:rFonts w:ascii="Arial Unicode MS" w:hAnsi="Arial Unicode MS" w:eastAsia="Arial Unicode MS"/>
          <w:color w:val="000000"/>
        </w:rPr>
        <w:t>M09 制造绩效与持续改善</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3816"/>
        <w:gridCol w:w="3384"/>
        <w:gridCol w:w="3528"/>
        <w:gridCol w:w="1440"/>
      </w:tblGrid>
      <w:tr w14:paraId="29852D11">
        <w:trPr>
          <w:cantSplit/>
          <w:tblHeader/>
          <w:jc w:val="center"/>
        </w:trPr>
        <w:tc>
          <w:tcPr>
            <w:tcW w:w="1656" w:type="dxa"/>
            <w:shd w:val="clear" w:color="auto" w:fill="234A68"/>
            <w:vAlign w:val="center"/>
          </w:tcPr>
          <w:p w14:paraId="45DD19E6">
            <w:pPr>
              <w:keepNext/>
              <w:spacing w:before="40" w:after="40" w:line="280" w:lineRule="exact"/>
              <w:jc w:val="center"/>
            </w:pPr>
            <w:r>
              <w:rPr>
                <w:rFonts w:ascii="Arial Unicode MS" w:hAnsi="Arial Unicode MS" w:eastAsia="Arial Unicode MS"/>
                <w:b/>
                <w:color w:val="FFFFFF"/>
                <w:sz w:val="19"/>
              </w:rPr>
              <w:t>编号与功能</w:t>
            </w:r>
          </w:p>
        </w:tc>
        <w:tc>
          <w:tcPr>
            <w:tcW w:w="3816" w:type="dxa"/>
            <w:shd w:val="clear" w:color="auto" w:fill="234A68"/>
            <w:vAlign w:val="center"/>
          </w:tcPr>
          <w:p w14:paraId="79D6A9B2">
            <w:pPr>
              <w:keepNext/>
              <w:spacing w:before="40" w:after="40" w:line="280" w:lineRule="exact"/>
              <w:jc w:val="center"/>
            </w:pPr>
            <w:r>
              <w:rPr>
                <w:rFonts w:ascii="Arial Unicode MS" w:hAnsi="Arial Unicode MS" w:eastAsia="Arial Unicode MS"/>
                <w:b/>
                <w:color w:val="FFFFFF"/>
                <w:sz w:val="19"/>
              </w:rPr>
              <w:t>生产准备及正常场景</w:t>
            </w:r>
          </w:p>
        </w:tc>
        <w:tc>
          <w:tcPr>
            <w:tcW w:w="3384" w:type="dxa"/>
            <w:shd w:val="clear" w:color="auto" w:fill="234A68"/>
            <w:vAlign w:val="center"/>
          </w:tcPr>
          <w:p w14:paraId="0D869CF1">
            <w:pPr>
              <w:keepNext/>
              <w:spacing w:before="40" w:after="40" w:line="280" w:lineRule="exact"/>
              <w:jc w:val="center"/>
            </w:pPr>
            <w:r>
              <w:rPr>
                <w:rFonts w:ascii="Arial Unicode MS" w:hAnsi="Arial Unicode MS" w:eastAsia="Arial Unicode MS"/>
                <w:b/>
                <w:color w:val="FFFFFF"/>
                <w:sz w:val="19"/>
              </w:rPr>
              <w:t>异常及控制</w:t>
            </w:r>
          </w:p>
        </w:tc>
        <w:tc>
          <w:tcPr>
            <w:tcW w:w="3528" w:type="dxa"/>
            <w:shd w:val="clear" w:color="auto" w:fill="234A68"/>
            <w:vAlign w:val="center"/>
          </w:tcPr>
          <w:p w14:paraId="366450A4">
            <w:pPr>
              <w:keepNext/>
              <w:spacing w:before="40" w:after="40" w:line="280" w:lineRule="exact"/>
              <w:jc w:val="center"/>
            </w:pPr>
            <w:r>
              <w:rPr>
                <w:rFonts w:ascii="Arial Unicode MS" w:hAnsi="Arial Unicode MS" w:eastAsia="Arial Unicode MS"/>
                <w:b/>
                <w:color w:val="FFFFFF"/>
                <w:sz w:val="19"/>
              </w:rPr>
              <w:t>MES边界</w:t>
            </w:r>
          </w:p>
        </w:tc>
        <w:tc>
          <w:tcPr>
            <w:tcW w:w="1440" w:type="dxa"/>
            <w:shd w:val="clear" w:color="auto" w:fill="234A68"/>
            <w:vAlign w:val="center"/>
          </w:tcPr>
          <w:p w14:paraId="508E7997">
            <w:pPr>
              <w:keepNext/>
              <w:spacing w:before="40" w:after="40" w:line="280" w:lineRule="exact"/>
              <w:jc w:val="center"/>
            </w:pPr>
            <w:r>
              <w:rPr>
                <w:rFonts w:ascii="Arial Unicode MS" w:hAnsi="Arial Unicode MS" w:eastAsia="Arial Unicode MS"/>
                <w:b/>
                <w:color w:val="FFFFFF"/>
                <w:sz w:val="19"/>
              </w:rPr>
              <w:t>优先级与依据</w:t>
            </w:r>
          </w:p>
        </w:tc>
      </w:tr>
      <w:tr w14:paraId="2C18A9C0">
        <w:trPr>
          <w:cantSplit/>
          <w:jc w:val="center"/>
        </w:trPr>
        <w:tc>
          <w:tcPr>
            <w:tcW w:w="1656" w:type="dxa"/>
            <w:vAlign w:val="center"/>
          </w:tcPr>
          <w:p w14:paraId="5AA00C49">
            <w:pPr>
              <w:spacing w:before="40" w:after="40" w:line="280" w:lineRule="exact"/>
            </w:pPr>
            <w:r>
              <w:rPr>
                <w:rFonts w:ascii="Arial Unicode MS" w:hAnsi="Arial Unicode MS" w:eastAsia="Arial Unicode MS"/>
                <w:b w:val="0"/>
                <w:color w:val="000000"/>
                <w:sz w:val="19"/>
              </w:rPr>
              <w:t>F07工时与人员作业数据</w:t>
            </w:r>
          </w:p>
        </w:tc>
        <w:tc>
          <w:tcPr>
            <w:tcW w:w="3816" w:type="dxa"/>
            <w:vAlign w:val="center"/>
          </w:tcPr>
          <w:p w14:paraId="4641959F">
            <w:pPr>
              <w:spacing w:before="40" w:after="40" w:line="280" w:lineRule="exact"/>
            </w:pPr>
            <w:r>
              <w:rPr>
                <w:rFonts w:ascii="Arial Unicode MS" w:hAnsi="Arial Unicode MS" w:eastAsia="Arial Unicode MS"/>
                <w:b w:val="0"/>
                <w:color w:val="000000"/>
                <w:sz w:val="19"/>
              </w:rPr>
              <w:t>准备 区分实际工时、标准工作量、任务达成和纯作业/等待。正常 复用作业事件形成按人、日和型号任务的日报，支持多人、跨线和维修。</w:t>
            </w:r>
          </w:p>
        </w:tc>
        <w:tc>
          <w:tcPr>
            <w:tcW w:w="3384" w:type="dxa"/>
            <w:vAlign w:val="center"/>
          </w:tcPr>
          <w:p w14:paraId="2670AFD6">
            <w:pPr>
              <w:spacing w:before="40" w:after="40" w:line="280" w:lineRule="exact"/>
            </w:pPr>
            <w:r>
              <w:rPr>
                <w:rFonts w:ascii="Arial Unicode MS" w:hAnsi="Arial Unicode MS" w:eastAsia="Arial Unicode MS"/>
                <w:b w:val="0"/>
                <w:color w:val="000000"/>
                <w:sz w:val="19"/>
              </w:rPr>
              <w:t>补录、更正、跨日与事件交叠保留来源；标准系数版本变化不改写历史。</w:t>
            </w:r>
          </w:p>
        </w:tc>
        <w:tc>
          <w:tcPr>
            <w:tcW w:w="3528" w:type="dxa"/>
            <w:vAlign w:val="center"/>
          </w:tcPr>
          <w:p w14:paraId="37040BB4">
            <w:pPr>
              <w:spacing w:before="40" w:after="40" w:line="280" w:lineRule="exact"/>
            </w:pPr>
            <w:r>
              <w:rPr>
                <w:rFonts w:ascii="Arial Unicode MS" w:hAnsi="Arial Unicode MS" w:eastAsia="Arial Unicode MS"/>
                <w:b w:val="0"/>
                <w:color w:val="000000"/>
                <w:sz w:val="19"/>
              </w:rPr>
              <w:t>必要日报可单独先行；薪资、统一个人定额及完整绩效另行评价，不与报工强绑。</w:t>
            </w:r>
          </w:p>
        </w:tc>
        <w:tc>
          <w:tcPr>
            <w:tcW w:w="1440" w:type="dxa"/>
            <w:vAlign w:val="center"/>
          </w:tcPr>
          <w:p w14:paraId="3D23E004">
            <w:pPr>
              <w:spacing w:before="40" w:after="40" w:line="280" w:lineRule="exact"/>
              <w:jc w:val="center"/>
            </w:pPr>
            <w:r>
              <w:rPr>
                <w:rFonts w:ascii="Arial Unicode MS" w:hAnsi="Arial Unicode MS" w:eastAsia="Arial Unicode MS"/>
                <w:b w:val="0"/>
                <w:color w:val="000000"/>
                <w:sz w:val="19"/>
              </w:rPr>
              <w:t>P0必要日报</w:t>
            </w:r>
            <w:r>
              <w:br w:type="textWrapping"/>
            </w:r>
            <w:r>
              <w:rPr>
                <w:rFonts w:ascii="Arial Unicode MS" w:hAnsi="Arial Unicode MS" w:eastAsia="Arial Unicode MS"/>
                <w:b w:val="0"/>
                <w:color w:val="000000"/>
                <w:sz w:val="19"/>
              </w:rPr>
              <w:t>P1工时深化</w:t>
            </w:r>
            <w:r>
              <w:br w:type="textWrapping"/>
            </w:r>
            <w:r>
              <w:rPr>
                <w:rFonts w:ascii="Arial Unicode MS" w:hAnsi="Arial Unicode MS" w:eastAsia="Arial Unicode MS"/>
                <w:b w:val="0"/>
                <w:color w:val="000000"/>
                <w:sz w:val="19"/>
              </w:rPr>
              <w:t>明确需求及专业细化</w:t>
            </w:r>
          </w:p>
        </w:tc>
      </w:tr>
      <w:tr w14:paraId="17DC579A">
        <w:trPr>
          <w:cantSplit/>
          <w:jc w:val="center"/>
        </w:trPr>
        <w:tc>
          <w:tcPr>
            <w:tcW w:w="1656" w:type="dxa"/>
            <w:shd w:val="clear" w:color="auto" w:fill="F1F5F8"/>
            <w:vAlign w:val="center"/>
          </w:tcPr>
          <w:p w14:paraId="5E0347E6">
            <w:pPr>
              <w:spacing w:before="40" w:after="40" w:line="280" w:lineRule="exact"/>
            </w:pPr>
            <w:r>
              <w:rPr>
                <w:rFonts w:ascii="Arial Unicode MS" w:hAnsi="Arial Unicode MS" w:eastAsia="Arial Unicode MS"/>
                <w:b w:val="0"/>
                <w:color w:val="000000"/>
                <w:sz w:val="19"/>
              </w:rPr>
              <w:t>F45适用设备运行与效率分析</w:t>
            </w:r>
          </w:p>
        </w:tc>
        <w:tc>
          <w:tcPr>
            <w:tcW w:w="3816" w:type="dxa"/>
            <w:shd w:val="clear" w:color="auto" w:fill="F1F5F8"/>
            <w:vAlign w:val="center"/>
          </w:tcPr>
          <w:p w14:paraId="14CED44D">
            <w:pPr>
              <w:spacing w:before="40" w:after="40" w:line="280" w:lineRule="exact"/>
            </w:pPr>
            <w:r>
              <w:rPr>
                <w:rFonts w:ascii="Arial Unicode MS" w:hAnsi="Arial Unicode MS" w:eastAsia="Arial Unicode MS"/>
                <w:b w:val="0"/>
                <w:color w:val="000000"/>
                <w:sz w:val="19"/>
              </w:rPr>
              <w:t>准备 选择确有自动运行和可测数据的设备，统一停机和统计口径。正常 分析运行、故障、停机及适用OEE，为改善提供定位。</w:t>
            </w:r>
          </w:p>
        </w:tc>
        <w:tc>
          <w:tcPr>
            <w:tcW w:w="3384" w:type="dxa"/>
            <w:shd w:val="clear" w:color="auto" w:fill="F1F5F8"/>
            <w:vAlign w:val="center"/>
          </w:tcPr>
          <w:p w14:paraId="6C9A5BF5">
            <w:pPr>
              <w:spacing w:before="40" w:after="40" w:line="280" w:lineRule="exact"/>
            </w:pPr>
            <w:r>
              <w:rPr>
                <w:rFonts w:ascii="Arial Unicode MS" w:hAnsi="Arial Unicode MS" w:eastAsia="Arial Unicode MS"/>
                <w:b w:val="0"/>
                <w:color w:val="000000"/>
                <w:sz w:val="19"/>
              </w:rPr>
              <w:t>原因缺失、计时冲突或样本不足显式标记，人工装配不套统一OEE。</w:t>
            </w:r>
          </w:p>
        </w:tc>
        <w:tc>
          <w:tcPr>
            <w:tcW w:w="3528" w:type="dxa"/>
            <w:shd w:val="clear" w:color="auto" w:fill="F1F5F8"/>
            <w:vAlign w:val="center"/>
          </w:tcPr>
          <w:p w14:paraId="2E7ED78A">
            <w:pPr>
              <w:spacing w:before="40" w:after="40" w:line="280" w:lineRule="exact"/>
            </w:pPr>
            <w:r>
              <w:rPr>
                <w:rFonts w:ascii="Arial Unicode MS" w:hAnsi="Arial Unicode MS" w:eastAsia="Arial Unicode MS"/>
                <w:b w:val="0"/>
                <w:color w:val="000000"/>
                <w:sz w:val="19"/>
              </w:rPr>
              <w:t>不是深圳试点所有工位统一OEE验收要求。</w:t>
            </w:r>
          </w:p>
        </w:tc>
        <w:tc>
          <w:tcPr>
            <w:tcW w:w="1440" w:type="dxa"/>
            <w:shd w:val="clear" w:color="auto" w:fill="F1F5F8"/>
            <w:vAlign w:val="center"/>
          </w:tcPr>
          <w:p w14:paraId="0595DA9F">
            <w:pPr>
              <w:spacing w:before="40" w:after="40" w:line="280" w:lineRule="exact"/>
              <w:jc w:val="center"/>
            </w:pPr>
            <w:r>
              <w:rPr>
                <w:rFonts w:ascii="Arial Unicode MS" w:hAnsi="Arial Unicode MS" w:eastAsia="Arial Unicode MS"/>
                <w:b w:val="0"/>
                <w:color w:val="000000"/>
                <w:sz w:val="19"/>
              </w:rPr>
              <w:t>P2条件需求</w:t>
            </w:r>
          </w:p>
        </w:tc>
      </w:tr>
      <w:tr w14:paraId="34410A98">
        <w:trPr>
          <w:cantSplit/>
          <w:jc w:val="center"/>
        </w:trPr>
        <w:tc>
          <w:tcPr>
            <w:tcW w:w="1656" w:type="dxa"/>
            <w:vAlign w:val="center"/>
          </w:tcPr>
          <w:p w14:paraId="4F24853B">
            <w:pPr>
              <w:spacing w:before="40" w:after="40" w:line="280" w:lineRule="exact"/>
            </w:pPr>
            <w:r>
              <w:rPr>
                <w:rFonts w:ascii="Arial Unicode MS" w:hAnsi="Arial Unicode MS" w:eastAsia="Arial Unicode MS"/>
                <w:b w:val="0"/>
                <w:color w:val="000000"/>
                <w:sz w:val="19"/>
              </w:rPr>
              <w:t>F48制造进度、在制及质量基础看板</w:t>
            </w:r>
          </w:p>
        </w:tc>
        <w:tc>
          <w:tcPr>
            <w:tcW w:w="3816" w:type="dxa"/>
            <w:vAlign w:val="center"/>
          </w:tcPr>
          <w:p w14:paraId="3B71CE98">
            <w:pPr>
              <w:spacing w:before="40" w:after="40" w:line="280" w:lineRule="exact"/>
            </w:pPr>
            <w:r>
              <w:rPr>
                <w:rFonts w:ascii="Arial Unicode MS" w:hAnsi="Arial Unicode MS" w:eastAsia="Arial Unicode MS"/>
                <w:b w:val="0"/>
                <w:color w:val="000000"/>
                <w:sz w:val="19"/>
              </w:rPr>
              <w:t>准备 统一对象、分子分母、实际日期和数据源，交接报表算法。正常 展示工位在制及余量、未排未完、检验队列和完成；生成日报/周月报，按工位及来料/制程分类钻取事件。</w:t>
            </w:r>
          </w:p>
        </w:tc>
        <w:tc>
          <w:tcPr>
            <w:tcW w:w="3384" w:type="dxa"/>
            <w:vAlign w:val="center"/>
          </w:tcPr>
          <w:p w14:paraId="03DA5FEC">
            <w:pPr>
              <w:spacing w:before="40" w:after="40" w:line="280" w:lineRule="exact"/>
            </w:pPr>
            <w:r>
              <w:rPr>
                <w:rFonts w:ascii="Arial Unicode MS" w:hAnsi="Arial Unicode MS" w:eastAsia="Arial Unicode MS"/>
                <w:b w:val="0"/>
                <w:color w:val="000000"/>
                <w:sz w:val="19"/>
              </w:rPr>
              <w:t>跨日合检、复测、重复审批、补录和未判原因单列，按源主键去重；源失效告警。</w:t>
            </w:r>
          </w:p>
        </w:tc>
        <w:tc>
          <w:tcPr>
            <w:tcW w:w="3528" w:type="dxa"/>
            <w:vAlign w:val="center"/>
          </w:tcPr>
          <w:p w14:paraId="7217A24E">
            <w:pPr>
              <w:spacing w:before="40" w:after="40" w:line="280" w:lineRule="exact"/>
            </w:pPr>
            <w:r>
              <w:rPr>
                <w:rFonts w:ascii="Arial Unicode MS" w:hAnsi="Arial Unicode MS" w:eastAsia="Arial Unicode MS"/>
                <w:b w:val="0"/>
                <w:color w:val="000000"/>
                <w:sz w:val="19"/>
              </w:rPr>
              <w:t>基础报表不等于独立BI；审批条数不计算一次合格率，原因分类不自动认定责任，加班由主管决策。</w:t>
            </w:r>
          </w:p>
        </w:tc>
        <w:tc>
          <w:tcPr>
            <w:tcW w:w="1440" w:type="dxa"/>
            <w:vAlign w:val="center"/>
          </w:tcPr>
          <w:p w14:paraId="3E5545AC">
            <w:pPr>
              <w:spacing w:before="40" w:after="40" w:line="280" w:lineRule="exact"/>
              <w:jc w:val="center"/>
            </w:pPr>
            <w:r>
              <w:rPr>
                <w:rFonts w:ascii="Arial Unicode MS" w:hAnsi="Arial Unicode MS" w:eastAsia="Arial Unicode MS"/>
                <w:b w:val="0"/>
                <w:color w:val="000000"/>
                <w:sz w:val="19"/>
              </w:rPr>
              <w:t>P0专家建议</w:t>
            </w:r>
          </w:p>
        </w:tc>
      </w:tr>
      <w:tr w14:paraId="3128E68B">
        <w:trPr>
          <w:cantSplit/>
          <w:jc w:val="center"/>
        </w:trPr>
        <w:tc>
          <w:tcPr>
            <w:tcW w:w="1656" w:type="dxa"/>
            <w:shd w:val="clear" w:color="auto" w:fill="F1F5F8"/>
            <w:vAlign w:val="center"/>
          </w:tcPr>
          <w:p w14:paraId="50CD1F63">
            <w:pPr>
              <w:spacing w:before="40" w:after="40" w:line="280" w:lineRule="exact"/>
            </w:pPr>
            <w:r>
              <w:rPr>
                <w:rFonts w:ascii="Arial Unicode MS" w:hAnsi="Arial Unicode MS" w:eastAsia="Arial Unicode MS"/>
                <w:b w:val="0"/>
                <w:color w:val="000000"/>
                <w:sz w:val="19"/>
              </w:rPr>
              <w:t>F49制造耗用、工时及损失数据输出</w:t>
            </w:r>
          </w:p>
        </w:tc>
        <w:tc>
          <w:tcPr>
            <w:tcW w:w="3816" w:type="dxa"/>
            <w:shd w:val="clear" w:color="auto" w:fill="F1F5F8"/>
            <w:vAlign w:val="center"/>
          </w:tcPr>
          <w:p w14:paraId="001D9B7A">
            <w:pPr>
              <w:spacing w:before="40" w:after="40" w:line="280" w:lineRule="exact"/>
            </w:pPr>
            <w:r>
              <w:rPr>
                <w:rFonts w:ascii="Arial Unicode MS" w:hAnsi="Arial Unicode MS" w:eastAsia="Arial Unicode MS"/>
                <w:b w:val="0"/>
                <w:color w:val="000000"/>
                <w:sz w:val="19"/>
              </w:rPr>
              <w:t>准备 明确工单/工序与实际材料、工时、返修/报废事件口径。正常 向ERP或分析平台输出可核对的制造输入。</w:t>
            </w:r>
          </w:p>
        </w:tc>
        <w:tc>
          <w:tcPr>
            <w:tcW w:w="3384" w:type="dxa"/>
            <w:shd w:val="clear" w:color="auto" w:fill="F1F5F8"/>
            <w:vAlign w:val="center"/>
          </w:tcPr>
          <w:p w14:paraId="560C0846">
            <w:pPr>
              <w:spacing w:before="40" w:after="40" w:line="280" w:lineRule="exact"/>
            </w:pPr>
            <w:r>
              <w:rPr>
                <w:rFonts w:ascii="Arial Unicode MS" w:hAnsi="Arial Unicode MS" w:eastAsia="Arial Unicode MS"/>
                <w:b w:val="0"/>
                <w:color w:val="000000"/>
                <w:sz w:val="19"/>
              </w:rPr>
              <w:t>异常用量、补录和换件/复测分开表达，保留调整原因。</w:t>
            </w:r>
          </w:p>
        </w:tc>
        <w:tc>
          <w:tcPr>
            <w:tcW w:w="3528" w:type="dxa"/>
            <w:shd w:val="clear" w:color="auto" w:fill="F1F5F8"/>
            <w:vAlign w:val="center"/>
          </w:tcPr>
          <w:p w14:paraId="39910003">
            <w:pPr>
              <w:spacing w:before="40" w:after="40" w:line="280" w:lineRule="exact"/>
            </w:pPr>
            <w:r>
              <w:rPr>
                <w:rFonts w:ascii="Arial Unicode MS" w:hAnsi="Arial Unicode MS" w:eastAsia="Arial Unicode MS"/>
                <w:b w:val="0"/>
                <w:color w:val="000000"/>
                <w:sz w:val="19"/>
              </w:rPr>
              <w:t>MES输出实耗、工时和损失事件，成本分配和财务核算由ERP及AR4承担。</w:t>
            </w:r>
          </w:p>
        </w:tc>
        <w:tc>
          <w:tcPr>
            <w:tcW w:w="1440" w:type="dxa"/>
            <w:shd w:val="clear" w:color="auto" w:fill="F1F5F8"/>
            <w:vAlign w:val="center"/>
          </w:tcPr>
          <w:p w14:paraId="7FD5AE9C">
            <w:pPr>
              <w:spacing w:before="40" w:after="40" w:line="280" w:lineRule="exact"/>
              <w:jc w:val="center"/>
            </w:pPr>
            <w:r>
              <w:rPr>
                <w:rFonts w:ascii="Arial Unicode MS" w:hAnsi="Arial Unicode MS" w:eastAsia="Arial Unicode MS"/>
                <w:b w:val="0"/>
                <w:color w:val="000000"/>
                <w:sz w:val="19"/>
              </w:rPr>
              <w:t>P1条件需求</w:t>
            </w:r>
          </w:p>
        </w:tc>
      </w:tr>
      <w:tr w14:paraId="3059BEE8">
        <w:trPr>
          <w:cantSplit/>
          <w:jc w:val="center"/>
        </w:trPr>
        <w:tc>
          <w:tcPr>
            <w:tcW w:w="1656" w:type="dxa"/>
            <w:vAlign w:val="center"/>
          </w:tcPr>
          <w:p w14:paraId="5BADD840">
            <w:pPr>
              <w:spacing w:before="40" w:after="40" w:line="280" w:lineRule="exact"/>
            </w:pPr>
            <w:r>
              <w:rPr>
                <w:rFonts w:ascii="Arial Unicode MS" w:hAnsi="Arial Unicode MS" w:eastAsia="Arial Unicode MS"/>
                <w:b w:val="0"/>
                <w:color w:val="000000"/>
                <w:sz w:val="19"/>
              </w:rPr>
              <w:t>F50多厂同口径分析与改善跟踪</w:t>
            </w:r>
          </w:p>
        </w:tc>
        <w:tc>
          <w:tcPr>
            <w:tcW w:w="3816" w:type="dxa"/>
            <w:vAlign w:val="center"/>
          </w:tcPr>
          <w:p w14:paraId="68FEBD5F">
            <w:pPr>
              <w:spacing w:before="40" w:after="40" w:line="280" w:lineRule="exact"/>
            </w:pPr>
            <w:r>
              <w:rPr>
                <w:rFonts w:ascii="Arial Unicode MS" w:hAnsi="Arial Unicode MS" w:eastAsia="Arial Unicode MS"/>
                <w:b w:val="0"/>
                <w:color w:val="000000"/>
                <w:sz w:val="19"/>
              </w:rPr>
              <w:t>准备 以稳定事件及指标定义形成工厂间可比口径。正常 在应用扩大后汇总制造指标，按异常和改善措施跟踪结果。</w:t>
            </w:r>
          </w:p>
        </w:tc>
        <w:tc>
          <w:tcPr>
            <w:tcW w:w="3384" w:type="dxa"/>
            <w:vAlign w:val="center"/>
          </w:tcPr>
          <w:p w14:paraId="45D67740">
            <w:pPr>
              <w:spacing w:before="40" w:after="40" w:line="280" w:lineRule="exact"/>
            </w:pPr>
            <w:r>
              <w:rPr>
                <w:rFonts w:ascii="Arial Unicode MS" w:hAnsi="Arial Unicode MS" w:eastAsia="Arial Unicode MS"/>
                <w:b w:val="0"/>
                <w:color w:val="000000"/>
                <w:sz w:val="19"/>
              </w:rPr>
              <w:t>产品组合、工艺和时间口径不一致时不直接排名。</w:t>
            </w:r>
          </w:p>
        </w:tc>
        <w:tc>
          <w:tcPr>
            <w:tcW w:w="3528" w:type="dxa"/>
            <w:vAlign w:val="center"/>
          </w:tcPr>
          <w:p w14:paraId="204B8D20">
            <w:pPr>
              <w:spacing w:before="40" w:after="40" w:line="280" w:lineRule="exact"/>
            </w:pPr>
            <w:r>
              <w:rPr>
                <w:rFonts w:ascii="Arial Unicode MS" w:hAnsi="Arial Unicode MS" w:eastAsia="Arial Unicode MS"/>
                <w:b w:val="0"/>
                <w:color w:val="000000"/>
                <w:sz w:val="19"/>
              </w:rPr>
              <w:t>独立BI采购与全企业经营分析不在本期MES必需范围。</w:t>
            </w:r>
          </w:p>
        </w:tc>
        <w:tc>
          <w:tcPr>
            <w:tcW w:w="1440" w:type="dxa"/>
            <w:vAlign w:val="center"/>
          </w:tcPr>
          <w:p w14:paraId="759E2D17">
            <w:pPr>
              <w:spacing w:before="40" w:after="40" w:line="280" w:lineRule="exact"/>
              <w:jc w:val="center"/>
            </w:pPr>
            <w:r>
              <w:rPr>
                <w:rFonts w:ascii="Arial Unicode MS" w:hAnsi="Arial Unicode MS" w:eastAsia="Arial Unicode MS"/>
                <w:b w:val="0"/>
                <w:color w:val="000000"/>
                <w:sz w:val="19"/>
              </w:rPr>
              <w:t>P1专家建议</w:t>
            </w:r>
          </w:p>
        </w:tc>
      </w:tr>
    </w:tbl>
    <w:p w14:paraId="3282E0F6">
      <w:pPr>
        <w:pStyle w:val="5"/>
      </w:pPr>
      <w:r>
        <w:rPr>
          <w:rFonts w:ascii="Arial Unicode MS" w:hAnsi="Arial Unicode MS" w:eastAsia="Arial Unicode MS"/>
          <w:color w:val="000000"/>
        </w:rPr>
        <w:t>平台非功能要求</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872"/>
        <w:gridCol w:w="5544"/>
        <w:gridCol w:w="5256"/>
        <w:gridCol w:w="1152"/>
      </w:tblGrid>
      <w:tr w14:paraId="5B26C4D8">
        <w:trPr>
          <w:cantSplit/>
          <w:tblHeader/>
          <w:jc w:val="center"/>
        </w:trPr>
        <w:tc>
          <w:tcPr>
            <w:tcW w:w="1872" w:type="dxa"/>
            <w:shd w:val="clear" w:color="auto" w:fill="234A68"/>
            <w:vAlign w:val="center"/>
          </w:tcPr>
          <w:p w14:paraId="2E27BC0B">
            <w:pPr>
              <w:keepNext/>
              <w:spacing w:before="40" w:after="40" w:line="280" w:lineRule="exact"/>
              <w:jc w:val="center"/>
            </w:pPr>
            <w:r>
              <w:rPr>
                <w:rFonts w:ascii="Arial Unicode MS" w:hAnsi="Arial Unicode MS" w:eastAsia="Arial Unicode MS"/>
                <w:b/>
                <w:color w:val="FFFFFF"/>
                <w:sz w:val="20"/>
              </w:rPr>
              <w:t>编号与要求</w:t>
            </w:r>
          </w:p>
        </w:tc>
        <w:tc>
          <w:tcPr>
            <w:tcW w:w="5544" w:type="dxa"/>
            <w:shd w:val="clear" w:color="auto" w:fill="234A68"/>
            <w:vAlign w:val="center"/>
          </w:tcPr>
          <w:p w14:paraId="4911AC32">
            <w:pPr>
              <w:keepNext/>
              <w:spacing w:before="40" w:after="40" w:line="280" w:lineRule="exact"/>
              <w:jc w:val="center"/>
            </w:pPr>
            <w:r>
              <w:rPr>
                <w:rFonts w:ascii="Arial Unicode MS" w:hAnsi="Arial Unicode MS" w:eastAsia="Arial Unicode MS"/>
                <w:b/>
                <w:color w:val="FFFFFF"/>
                <w:sz w:val="20"/>
              </w:rPr>
              <w:t>建设要求</w:t>
            </w:r>
          </w:p>
        </w:tc>
        <w:tc>
          <w:tcPr>
            <w:tcW w:w="5256" w:type="dxa"/>
            <w:shd w:val="clear" w:color="auto" w:fill="234A68"/>
            <w:vAlign w:val="center"/>
          </w:tcPr>
          <w:p w14:paraId="333103C5">
            <w:pPr>
              <w:keepNext/>
              <w:spacing w:before="40" w:after="40" w:line="280" w:lineRule="exact"/>
              <w:jc w:val="center"/>
            </w:pPr>
            <w:r>
              <w:rPr>
                <w:rFonts w:ascii="Arial Unicode MS" w:hAnsi="Arial Unicode MS" w:eastAsia="Arial Unicode MS"/>
                <w:b/>
                <w:color w:val="FFFFFF"/>
                <w:sz w:val="20"/>
              </w:rPr>
              <w:t>验证与异常场景</w:t>
            </w:r>
          </w:p>
        </w:tc>
        <w:tc>
          <w:tcPr>
            <w:tcW w:w="1152" w:type="dxa"/>
            <w:shd w:val="clear" w:color="auto" w:fill="234A68"/>
            <w:vAlign w:val="center"/>
          </w:tcPr>
          <w:p w14:paraId="53E7B303">
            <w:pPr>
              <w:keepNext/>
              <w:spacing w:before="40" w:after="40" w:line="280" w:lineRule="exact"/>
              <w:jc w:val="center"/>
            </w:pPr>
            <w:r>
              <w:rPr>
                <w:rFonts w:ascii="Arial Unicode MS" w:hAnsi="Arial Unicode MS" w:eastAsia="Arial Unicode MS"/>
                <w:b/>
                <w:color w:val="FFFFFF"/>
                <w:sz w:val="20"/>
              </w:rPr>
              <w:t>优先级</w:t>
            </w:r>
          </w:p>
        </w:tc>
      </w:tr>
      <w:tr w14:paraId="7BD786FA">
        <w:trPr>
          <w:cantSplit/>
          <w:jc w:val="center"/>
        </w:trPr>
        <w:tc>
          <w:tcPr>
            <w:tcW w:w="1872" w:type="dxa"/>
            <w:vAlign w:val="center"/>
          </w:tcPr>
          <w:p w14:paraId="689E1A90">
            <w:pPr>
              <w:spacing w:before="40" w:after="40" w:line="280" w:lineRule="exact"/>
            </w:pPr>
            <w:r>
              <w:rPr>
                <w:rFonts w:ascii="Arial Unicode MS" w:hAnsi="Arial Unicode MS" w:eastAsia="Arial Unicode MS"/>
                <w:b w:val="0"/>
                <w:color w:val="000000"/>
                <w:sz w:val="20"/>
              </w:rPr>
              <w:t>N01</w:t>
            </w:r>
            <w:r>
              <w:br w:type="textWrapping"/>
            </w:r>
            <w:r>
              <w:rPr>
                <w:rFonts w:ascii="Arial Unicode MS" w:hAnsi="Arial Unicode MS" w:eastAsia="Arial Unicode MS"/>
                <w:b w:val="0"/>
                <w:color w:val="000000"/>
                <w:sz w:val="20"/>
              </w:rPr>
              <w:t>身份、权限与授权</w:t>
            </w:r>
          </w:p>
        </w:tc>
        <w:tc>
          <w:tcPr>
            <w:tcW w:w="5544" w:type="dxa"/>
            <w:vAlign w:val="center"/>
          </w:tcPr>
          <w:p w14:paraId="48435397">
            <w:pPr>
              <w:spacing w:before="40" w:after="40" w:line="280" w:lineRule="exact"/>
            </w:pPr>
            <w:r>
              <w:rPr>
                <w:rFonts w:ascii="Arial Unicode MS" w:hAnsi="Arial Unicode MS" w:eastAsia="Arial Unicode MS"/>
                <w:b w:val="0"/>
                <w:color w:val="000000"/>
                <w:sz w:val="20"/>
              </w:rPr>
              <w:t>个人账号、岗位/工厂/数据范围和最小权限；关键操作分权；账号和临时/供应商授权可到期回收。</w:t>
            </w:r>
          </w:p>
        </w:tc>
        <w:tc>
          <w:tcPr>
            <w:tcW w:w="5256" w:type="dxa"/>
            <w:vAlign w:val="center"/>
          </w:tcPr>
          <w:p w14:paraId="7B8DF7E9">
            <w:pPr>
              <w:spacing w:before="40" w:after="40" w:line="280" w:lineRule="exact"/>
            </w:pPr>
            <w:r>
              <w:rPr>
                <w:rFonts w:ascii="Arial Unicode MS" w:hAnsi="Arial Unicode MS" w:eastAsia="Arial Unicode MS"/>
                <w:b w:val="0"/>
                <w:color w:val="000000"/>
                <w:sz w:val="20"/>
              </w:rPr>
              <w:t>验证越权、离职、岗位变更、临时授权及代操作场景；与F04作业资格区分。</w:t>
            </w:r>
          </w:p>
        </w:tc>
        <w:tc>
          <w:tcPr>
            <w:tcW w:w="1152" w:type="dxa"/>
            <w:vAlign w:val="center"/>
          </w:tcPr>
          <w:p w14:paraId="2567D0DE">
            <w:pPr>
              <w:spacing w:before="40" w:after="40" w:line="280" w:lineRule="exact"/>
              <w:jc w:val="center"/>
            </w:pPr>
            <w:r>
              <w:rPr>
                <w:rFonts w:ascii="Arial Unicode MS" w:hAnsi="Arial Unicode MS" w:eastAsia="Arial Unicode MS"/>
                <w:b w:val="0"/>
                <w:color w:val="000000"/>
                <w:sz w:val="20"/>
              </w:rPr>
              <w:t>P0</w:t>
            </w:r>
          </w:p>
        </w:tc>
      </w:tr>
      <w:tr w14:paraId="1B69CF4C">
        <w:trPr>
          <w:cantSplit/>
          <w:jc w:val="center"/>
        </w:trPr>
        <w:tc>
          <w:tcPr>
            <w:tcW w:w="1872" w:type="dxa"/>
            <w:shd w:val="clear" w:color="auto" w:fill="F1F5F8"/>
            <w:vAlign w:val="center"/>
          </w:tcPr>
          <w:p w14:paraId="163A51A5">
            <w:pPr>
              <w:spacing w:before="40" w:after="40" w:line="280" w:lineRule="exact"/>
            </w:pPr>
            <w:r>
              <w:rPr>
                <w:rFonts w:ascii="Arial Unicode MS" w:hAnsi="Arial Unicode MS" w:eastAsia="Arial Unicode MS"/>
                <w:b w:val="0"/>
                <w:color w:val="000000"/>
                <w:sz w:val="20"/>
              </w:rPr>
              <w:t>N02</w:t>
            </w:r>
            <w:r>
              <w:br w:type="textWrapping"/>
            </w:r>
            <w:r>
              <w:rPr>
                <w:rFonts w:ascii="Arial Unicode MS" w:hAnsi="Arial Unicode MS" w:eastAsia="Arial Unicode MS"/>
                <w:b w:val="0"/>
                <w:color w:val="000000"/>
                <w:sz w:val="20"/>
              </w:rPr>
              <w:t>网络、访问与数据安全</w:t>
            </w:r>
          </w:p>
        </w:tc>
        <w:tc>
          <w:tcPr>
            <w:tcW w:w="5544" w:type="dxa"/>
            <w:shd w:val="clear" w:color="auto" w:fill="F1F5F8"/>
            <w:vAlign w:val="center"/>
          </w:tcPr>
          <w:p w14:paraId="1B931AB6">
            <w:pPr>
              <w:spacing w:before="40" w:after="40" w:line="280" w:lineRule="exact"/>
            </w:pPr>
            <w:r>
              <w:rPr>
                <w:rFonts w:ascii="Arial Unicode MS" w:hAnsi="Arial Unicode MS" w:eastAsia="Arial Unicode MS"/>
                <w:b w:val="0"/>
                <w:color w:val="000000"/>
                <w:sz w:val="20"/>
              </w:rPr>
              <w:t>按IT/OT和现场风险设计访问边界、远程维护、通信保护及敏感数据访问；部署方式采用批准方案。</w:t>
            </w:r>
          </w:p>
        </w:tc>
        <w:tc>
          <w:tcPr>
            <w:tcW w:w="5256" w:type="dxa"/>
            <w:shd w:val="clear" w:color="auto" w:fill="F1F5F8"/>
            <w:vAlign w:val="center"/>
          </w:tcPr>
          <w:p w14:paraId="1B9BB674">
            <w:pPr>
              <w:spacing w:before="40" w:after="40" w:line="280" w:lineRule="exact"/>
            </w:pPr>
            <w:r>
              <w:rPr>
                <w:rFonts w:ascii="Arial Unicode MS" w:hAnsi="Arial Unicode MS" w:eastAsia="Arial Unicode MS"/>
                <w:b w:val="0"/>
                <w:color w:val="000000"/>
                <w:sz w:val="20"/>
              </w:rPr>
              <w:t>验证远程接入授权和撤销、失效账号、非法访问及必要边界规则。</w:t>
            </w:r>
          </w:p>
        </w:tc>
        <w:tc>
          <w:tcPr>
            <w:tcW w:w="1152" w:type="dxa"/>
            <w:shd w:val="clear" w:color="auto" w:fill="F1F5F8"/>
            <w:vAlign w:val="center"/>
          </w:tcPr>
          <w:p w14:paraId="06CEB0D4">
            <w:pPr>
              <w:spacing w:before="40" w:after="40" w:line="280" w:lineRule="exact"/>
              <w:jc w:val="center"/>
            </w:pPr>
            <w:r>
              <w:rPr>
                <w:rFonts w:ascii="Arial Unicode MS" w:hAnsi="Arial Unicode MS" w:eastAsia="Arial Unicode MS"/>
                <w:b w:val="0"/>
                <w:color w:val="000000"/>
                <w:sz w:val="20"/>
              </w:rPr>
              <w:t>P0</w:t>
            </w:r>
          </w:p>
        </w:tc>
      </w:tr>
      <w:tr w14:paraId="485FB7D4">
        <w:trPr>
          <w:cantSplit/>
          <w:jc w:val="center"/>
        </w:trPr>
        <w:tc>
          <w:tcPr>
            <w:tcW w:w="1872" w:type="dxa"/>
            <w:vAlign w:val="center"/>
          </w:tcPr>
          <w:p w14:paraId="4A36F022">
            <w:pPr>
              <w:spacing w:before="40" w:after="40" w:line="280" w:lineRule="exact"/>
            </w:pPr>
            <w:r>
              <w:rPr>
                <w:rFonts w:ascii="Arial Unicode MS" w:hAnsi="Arial Unicode MS" w:eastAsia="Arial Unicode MS"/>
                <w:b w:val="0"/>
                <w:color w:val="000000"/>
                <w:sz w:val="20"/>
              </w:rPr>
              <w:t>N03</w:t>
            </w:r>
            <w:r>
              <w:br w:type="textWrapping"/>
            </w:r>
            <w:r>
              <w:rPr>
                <w:rFonts w:ascii="Arial Unicode MS" w:hAnsi="Arial Unicode MS" w:eastAsia="Arial Unicode MS"/>
                <w:b w:val="0"/>
                <w:color w:val="000000"/>
                <w:sz w:val="20"/>
              </w:rPr>
              <w:t>操作审计与业务日志</w:t>
            </w:r>
          </w:p>
        </w:tc>
        <w:tc>
          <w:tcPr>
            <w:tcW w:w="5544" w:type="dxa"/>
            <w:vAlign w:val="center"/>
          </w:tcPr>
          <w:p w14:paraId="6B954338">
            <w:pPr>
              <w:spacing w:before="40" w:after="40" w:line="280" w:lineRule="exact"/>
            </w:pPr>
            <w:r>
              <w:rPr>
                <w:rFonts w:ascii="Arial Unicode MS" w:hAnsi="Arial Unicode MS" w:eastAsia="Arial Unicode MS"/>
                <w:b w:val="0"/>
                <w:color w:val="000000"/>
                <w:sz w:val="20"/>
              </w:rPr>
              <w:t>关键变更保留来源、操作人、原始/处理时间、前后值和原因；审计记录可检索并防止普通用户篡改。</w:t>
            </w:r>
          </w:p>
        </w:tc>
        <w:tc>
          <w:tcPr>
            <w:tcW w:w="5256" w:type="dxa"/>
            <w:vAlign w:val="center"/>
          </w:tcPr>
          <w:p w14:paraId="1328AB56">
            <w:pPr>
              <w:spacing w:before="40" w:after="40" w:line="280" w:lineRule="exact"/>
            </w:pPr>
            <w:r>
              <w:rPr>
                <w:rFonts w:ascii="Arial Unicode MS" w:hAnsi="Arial Unicode MS" w:eastAsia="Arial Unicode MS"/>
                <w:b w:val="0"/>
                <w:color w:val="000000"/>
                <w:sz w:val="20"/>
              </w:rPr>
              <w:t>测试改量、取消、重绑、放行、手工补录、更正和管理员操作；按批准留存策略执行。</w:t>
            </w:r>
          </w:p>
        </w:tc>
        <w:tc>
          <w:tcPr>
            <w:tcW w:w="1152" w:type="dxa"/>
            <w:vAlign w:val="center"/>
          </w:tcPr>
          <w:p w14:paraId="26FDA92B">
            <w:pPr>
              <w:spacing w:before="40" w:after="40" w:line="280" w:lineRule="exact"/>
              <w:jc w:val="center"/>
            </w:pPr>
            <w:r>
              <w:rPr>
                <w:rFonts w:ascii="Arial Unicode MS" w:hAnsi="Arial Unicode MS" w:eastAsia="Arial Unicode MS"/>
                <w:b w:val="0"/>
                <w:color w:val="000000"/>
                <w:sz w:val="20"/>
              </w:rPr>
              <w:t>P0</w:t>
            </w:r>
          </w:p>
        </w:tc>
      </w:tr>
      <w:tr w14:paraId="5B689370">
        <w:trPr>
          <w:cantSplit/>
          <w:jc w:val="center"/>
        </w:trPr>
        <w:tc>
          <w:tcPr>
            <w:tcW w:w="1872" w:type="dxa"/>
            <w:shd w:val="clear" w:color="auto" w:fill="F1F5F8"/>
            <w:vAlign w:val="center"/>
          </w:tcPr>
          <w:p w14:paraId="3D582E41">
            <w:pPr>
              <w:spacing w:before="40" w:after="40" w:line="280" w:lineRule="exact"/>
            </w:pPr>
            <w:r>
              <w:rPr>
                <w:rFonts w:ascii="Arial Unicode MS" w:hAnsi="Arial Unicode MS" w:eastAsia="Arial Unicode MS"/>
                <w:b w:val="0"/>
                <w:color w:val="000000"/>
                <w:sz w:val="20"/>
              </w:rPr>
              <w:t>N04</w:t>
            </w:r>
            <w:r>
              <w:br w:type="textWrapping"/>
            </w:r>
            <w:r>
              <w:rPr>
                <w:rFonts w:ascii="Arial Unicode MS" w:hAnsi="Arial Unicode MS" w:eastAsia="Arial Unicode MS"/>
                <w:b w:val="0"/>
                <w:color w:val="000000"/>
                <w:sz w:val="20"/>
              </w:rPr>
              <w:t>性能、并发与容量</w:t>
            </w:r>
          </w:p>
        </w:tc>
        <w:tc>
          <w:tcPr>
            <w:tcW w:w="5544" w:type="dxa"/>
            <w:shd w:val="clear" w:color="auto" w:fill="F1F5F8"/>
            <w:vAlign w:val="center"/>
          </w:tcPr>
          <w:p w14:paraId="4A92029B">
            <w:pPr>
              <w:spacing w:before="40" w:after="40" w:line="280" w:lineRule="exact"/>
            </w:pPr>
            <w:r>
              <w:rPr>
                <w:rFonts w:ascii="Arial Unicode MS" w:hAnsi="Arial Unicode MS" w:eastAsia="Arial Unicode MS"/>
                <w:b w:val="0"/>
                <w:color w:val="000000"/>
                <w:sz w:val="20"/>
              </w:rPr>
              <w:t>按试点终端、峰值并发、工单/SN和测试数据量形成容量模型；扫码、报工、追溯及报表分别测端到端响应。</w:t>
            </w:r>
          </w:p>
        </w:tc>
        <w:tc>
          <w:tcPr>
            <w:tcW w:w="5256" w:type="dxa"/>
            <w:shd w:val="clear" w:color="auto" w:fill="F1F5F8"/>
            <w:vAlign w:val="center"/>
          </w:tcPr>
          <w:p w14:paraId="2C4F26E0">
            <w:pPr>
              <w:spacing w:before="40" w:after="40" w:line="280" w:lineRule="exact"/>
            </w:pPr>
            <w:r>
              <w:rPr>
                <w:rFonts w:ascii="Arial Unicode MS" w:hAnsi="Arial Unicode MS" w:eastAsia="Arial Unicode MS"/>
                <w:b w:val="0"/>
                <w:color w:val="000000"/>
                <w:sz w:val="20"/>
              </w:rPr>
              <w:t>预先批准负载、P95响应、批量查询和增长周期，压测包含接口及采集并行负载。</w:t>
            </w:r>
          </w:p>
        </w:tc>
        <w:tc>
          <w:tcPr>
            <w:tcW w:w="1152" w:type="dxa"/>
            <w:shd w:val="clear" w:color="auto" w:fill="F1F5F8"/>
            <w:vAlign w:val="center"/>
          </w:tcPr>
          <w:p w14:paraId="4832B8BC">
            <w:pPr>
              <w:spacing w:before="40" w:after="40" w:line="280" w:lineRule="exact"/>
              <w:jc w:val="center"/>
            </w:pPr>
            <w:r>
              <w:rPr>
                <w:rFonts w:ascii="Arial Unicode MS" w:hAnsi="Arial Unicode MS" w:eastAsia="Arial Unicode MS"/>
                <w:b w:val="0"/>
                <w:color w:val="000000"/>
                <w:sz w:val="20"/>
              </w:rPr>
              <w:t>P0</w:t>
            </w:r>
          </w:p>
        </w:tc>
      </w:tr>
      <w:tr w14:paraId="72B5D041">
        <w:trPr>
          <w:cantSplit/>
          <w:jc w:val="center"/>
        </w:trPr>
        <w:tc>
          <w:tcPr>
            <w:tcW w:w="1872" w:type="dxa"/>
            <w:vAlign w:val="center"/>
          </w:tcPr>
          <w:p w14:paraId="469F2AE2">
            <w:pPr>
              <w:spacing w:before="40" w:after="40" w:line="280" w:lineRule="exact"/>
            </w:pPr>
            <w:r>
              <w:rPr>
                <w:rFonts w:ascii="Arial Unicode MS" w:hAnsi="Arial Unicode MS" w:eastAsia="Arial Unicode MS"/>
                <w:b w:val="0"/>
                <w:color w:val="000000"/>
                <w:sz w:val="20"/>
              </w:rPr>
              <w:t>N05</w:t>
            </w:r>
            <w:r>
              <w:br w:type="textWrapping"/>
            </w:r>
            <w:r>
              <w:rPr>
                <w:rFonts w:ascii="Arial Unicode MS" w:hAnsi="Arial Unicode MS" w:eastAsia="Arial Unicode MS"/>
                <w:b w:val="0"/>
                <w:color w:val="000000"/>
                <w:sz w:val="20"/>
              </w:rPr>
              <w:t>可用性、降级与应急</w:t>
            </w:r>
          </w:p>
        </w:tc>
        <w:tc>
          <w:tcPr>
            <w:tcW w:w="5544" w:type="dxa"/>
            <w:vAlign w:val="center"/>
          </w:tcPr>
          <w:p w14:paraId="5694A790">
            <w:pPr>
              <w:spacing w:before="40" w:after="40" w:line="280" w:lineRule="exact"/>
            </w:pPr>
            <w:r>
              <w:rPr>
                <w:rFonts w:ascii="Arial Unicode MS" w:hAnsi="Arial Unicode MS" w:eastAsia="Arial Unicode MS"/>
                <w:b w:val="0"/>
                <w:color w:val="000000"/>
                <w:sz w:val="20"/>
              </w:rPr>
              <w:t>明确网络、应用、数据库和现场终端故障时允许/禁止的动作；支持批准的人工应急、恢复核对与追补。</w:t>
            </w:r>
          </w:p>
        </w:tc>
        <w:tc>
          <w:tcPr>
            <w:tcW w:w="5256" w:type="dxa"/>
            <w:vAlign w:val="center"/>
          </w:tcPr>
          <w:p w14:paraId="5A17DC9E">
            <w:pPr>
              <w:spacing w:before="40" w:after="40" w:line="280" w:lineRule="exact"/>
            </w:pPr>
            <w:r>
              <w:rPr>
                <w:rFonts w:ascii="Arial Unicode MS" w:hAnsi="Arial Unicode MS" w:eastAsia="Arial Unicode MS"/>
                <w:b w:val="0"/>
                <w:color w:val="000000"/>
                <w:sz w:val="20"/>
              </w:rPr>
              <w:t>验证断网、超时、停电、应用不可用、部分接口失效及恢复后对账，不能仅验证正常页面。</w:t>
            </w:r>
          </w:p>
        </w:tc>
        <w:tc>
          <w:tcPr>
            <w:tcW w:w="1152" w:type="dxa"/>
            <w:vAlign w:val="center"/>
          </w:tcPr>
          <w:p w14:paraId="2C638607">
            <w:pPr>
              <w:spacing w:before="40" w:after="40" w:line="280" w:lineRule="exact"/>
              <w:jc w:val="center"/>
            </w:pPr>
            <w:r>
              <w:rPr>
                <w:rFonts w:ascii="Arial Unicode MS" w:hAnsi="Arial Unicode MS" w:eastAsia="Arial Unicode MS"/>
                <w:b w:val="0"/>
                <w:color w:val="000000"/>
                <w:sz w:val="20"/>
              </w:rPr>
              <w:t>P0</w:t>
            </w:r>
          </w:p>
        </w:tc>
      </w:tr>
      <w:tr w14:paraId="4B1E6064">
        <w:trPr>
          <w:cantSplit/>
          <w:jc w:val="center"/>
        </w:trPr>
        <w:tc>
          <w:tcPr>
            <w:tcW w:w="1872" w:type="dxa"/>
            <w:shd w:val="clear" w:color="auto" w:fill="F1F5F8"/>
            <w:vAlign w:val="center"/>
          </w:tcPr>
          <w:p w14:paraId="2E8A14D1">
            <w:pPr>
              <w:spacing w:before="40" w:after="40" w:line="280" w:lineRule="exact"/>
            </w:pPr>
            <w:r>
              <w:rPr>
                <w:rFonts w:ascii="Arial Unicode MS" w:hAnsi="Arial Unicode MS" w:eastAsia="Arial Unicode MS"/>
                <w:b w:val="0"/>
                <w:color w:val="000000"/>
                <w:sz w:val="20"/>
              </w:rPr>
              <w:t>N06</w:t>
            </w:r>
            <w:r>
              <w:br w:type="textWrapping"/>
            </w:r>
            <w:r>
              <w:rPr>
                <w:rFonts w:ascii="Arial Unicode MS" w:hAnsi="Arial Unicode MS" w:eastAsia="Arial Unicode MS"/>
                <w:b w:val="0"/>
                <w:color w:val="000000"/>
                <w:sz w:val="20"/>
              </w:rPr>
              <w:t>备份、恢复与业务连续性</w:t>
            </w:r>
          </w:p>
        </w:tc>
        <w:tc>
          <w:tcPr>
            <w:tcW w:w="5544" w:type="dxa"/>
            <w:shd w:val="clear" w:color="auto" w:fill="F1F5F8"/>
            <w:vAlign w:val="center"/>
          </w:tcPr>
          <w:p w14:paraId="41DF1C6C">
            <w:pPr>
              <w:spacing w:before="40" w:after="40" w:line="280" w:lineRule="exact"/>
            </w:pPr>
            <w:r>
              <w:rPr>
                <w:rFonts w:ascii="Arial Unicode MS" w:hAnsi="Arial Unicode MS" w:eastAsia="Arial Unicode MS"/>
                <w:b w:val="0"/>
                <w:color w:val="000000"/>
                <w:sz w:val="20"/>
              </w:rPr>
              <w:t>定义数据库、附件、配置及密钥等恢复对象、备份保护及演练责任；RTO/RPO按业务批准目标执行。</w:t>
            </w:r>
          </w:p>
        </w:tc>
        <w:tc>
          <w:tcPr>
            <w:tcW w:w="5256" w:type="dxa"/>
            <w:shd w:val="clear" w:color="auto" w:fill="F1F5F8"/>
            <w:vAlign w:val="center"/>
          </w:tcPr>
          <w:p w14:paraId="426F1A20">
            <w:pPr>
              <w:spacing w:before="40" w:after="40" w:line="280" w:lineRule="exact"/>
            </w:pPr>
            <w:r>
              <w:rPr>
                <w:rFonts w:ascii="Arial Unicode MS" w:hAnsi="Arial Unicode MS" w:eastAsia="Arial Unicode MS"/>
                <w:b w:val="0"/>
                <w:color w:val="000000"/>
                <w:sz w:val="20"/>
              </w:rPr>
              <w:t>独立恢复并由业务复核任务、身份、记录和附件；备份成功日志不能代替恢复演练。</w:t>
            </w:r>
          </w:p>
        </w:tc>
        <w:tc>
          <w:tcPr>
            <w:tcW w:w="1152" w:type="dxa"/>
            <w:shd w:val="clear" w:color="auto" w:fill="F1F5F8"/>
            <w:vAlign w:val="center"/>
          </w:tcPr>
          <w:p w14:paraId="0326784F">
            <w:pPr>
              <w:spacing w:before="40" w:after="40" w:line="280" w:lineRule="exact"/>
              <w:jc w:val="center"/>
            </w:pPr>
            <w:r>
              <w:rPr>
                <w:rFonts w:ascii="Arial Unicode MS" w:hAnsi="Arial Unicode MS" w:eastAsia="Arial Unicode MS"/>
                <w:b w:val="0"/>
                <w:color w:val="000000"/>
                <w:sz w:val="20"/>
              </w:rPr>
              <w:t>P0</w:t>
            </w:r>
          </w:p>
        </w:tc>
      </w:tr>
      <w:tr w14:paraId="113392F7">
        <w:trPr>
          <w:cantSplit/>
          <w:jc w:val="center"/>
        </w:trPr>
        <w:tc>
          <w:tcPr>
            <w:tcW w:w="1872" w:type="dxa"/>
            <w:vAlign w:val="center"/>
          </w:tcPr>
          <w:p w14:paraId="18B1037F">
            <w:pPr>
              <w:spacing w:before="40" w:after="40" w:line="280" w:lineRule="exact"/>
            </w:pPr>
            <w:r>
              <w:rPr>
                <w:rFonts w:ascii="Arial Unicode MS" w:hAnsi="Arial Unicode MS" w:eastAsia="Arial Unicode MS"/>
                <w:b w:val="0"/>
                <w:color w:val="000000"/>
                <w:sz w:val="20"/>
              </w:rPr>
              <w:t>N07</w:t>
            </w:r>
            <w:r>
              <w:br w:type="textWrapping"/>
            </w:r>
            <w:r>
              <w:rPr>
                <w:rFonts w:ascii="Arial Unicode MS" w:hAnsi="Arial Unicode MS" w:eastAsia="Arial Unicode MS"/>
                <w:b w:val="0"/>
                <w:color w:val="000000"/>
                <w:sz w:val="20"/>
              </w:rPr>
              <w:t>规则配置与工位可用性</w:t>
            </w:r>
          </w:p>
        </w:tc>
        <w:tc>
          <w:tcPr>
            <w:tcW w:w="5544" w:type="dxa"/>
            <w:vAlign w:val="center"/>
          </w:tcPr>
          <w:p w14:paraId="37D56922">
            <w:pPr>
              <w:spacing w:before="40" w:after="40" w:line="280" w:lineRule="exact"/>
            </w:pPr>
            <w:r>
              <w:rPr>
                <w:rFonts w:ascii="Arial Unicode MS" w:hAnsi="Arial Unicode MS" w:eastAsia="Arial Unicode MS"/>
                <w:b w:val="0"/>
                <w:color w:val="000000"/>
                <w:sz w:val="20"/>
              </w:rPr>
              <w:t>组织、路线、资源、字段、字典、通知、模板和常用作业规则可受控配置；工位动作简化，批量操作可控。</w:t>
            </w:r>
          </w:p>
        </w:tc>
        <w:tc>
          <w:tcPr>
            <w:tcW w:w="5256" w:type="dxa"/>
            <w:vAlign w:val="center"/>
          </w:tcPr>
          <w:p w14:paraId="1371AC13">
            <w:pPr>
              <w:spacing w:before="40" w:after="40" w:line="280" w:lineRule="exact"/>
            </w:pPr>
            <w:r>
              <w:rPr>
                <w:rFonts w:ascii="Arial Unicode MS" w:hAnsi="Arial Unicode MS" w:eastAsia="Arial Unicode MS"/>
                <w:b w:val="0"/>
                <w:color w:val="000000"/>
                <w:sz w:val="20"/>
              </w:rPr>
              <w:t>用批量变化、换型号、客户包装差异、岗位调动和模板更新验证；配置变更版本化并评估在制。</w:t>
            </w:r>
          </w:p>
        </w:tc>
        <w:tc>
          <w:tcPr>
            <w:tcW w:w="1152" w:type="dxa"/>
            <w:vAlign w:val="center"/>
          </w:tcPr>
          <w:p w14:paraId="7ACDBF5C">
            <w:pPr>
              <w:spacing w:before="40" w:after="40" w:line="280" w:lineRule="exact"/>
              <w:jc w:val="center"/>
            </w:pPr>
            <w:r>
              <w:rPr>
                <w:rFonts w:ascii="Arial Unicode MS" w:hAnsi="Arial Unicode MS" w:eastAsia="Arial Unicode MS"/>
                <w:b w:val="0"/>
                <w:color w:val="000000"/>
                <w:sz w:val="20"/>
              </w:rPr>
              <w:t>P0</w:t>
            </w:r>
          </w:p>
        </w:tc>
      </w:tr>
      <w:tr w14:paraId="361E22A1">
        <w:trPr>
          <w:cantSplit/>
          <w:jc w:val="center"/>
        </w:trPr>
        <w:tc>
          <w:tcPr>
            <w:tcW w:w="1872" w:type="dxa"/>
            <w:shd w:val="clear" w:color="auto" w:fill="F1F5F8"/>
            <w:vAlign w:val="center"/>
          </w:tcPr>
          <w:p w14:paraId="1380B489">
            <w:pPr>
              <w:spacing w:before="40" w:after="40" w:line="280" w:lineRule="exact"/>
            </w:pPr>
            <w:r>
              <w:rPr>
                <w:rFonts w:ascii="Arial Unicode MS" w:hAnsi="Arial Unicode MS" w:eastAsia="Arial Unicode MS"/>
                <w:b w:val="0"/>
                <w:color w:val="000000"/>
                <w:sz w:val="20"/>
              </w:rPr>
              <w:t>N08</w:t>
            </w:r>
            <w:r>
              <w:br w:type="textWrapping"/>
            </w:r>
            <w:r>
              <w:rPr>
                <w:rFonts w:ascii="Arial Unicode MS" w:hAnsi="Arial Unicode MS" w:eastAsia="Arial Unicode MS"/>
                <w:b w:val="0"/>
                <w:color w:val="000000"/>
                <w:sz w:val="20"/>
              </w:rPr>
              <w:t>扩展开发与升级兼容</w:t>
            </w:r>
          </w:p>
        </w:tc>
        <w:tc>
          <w:tcPr>
            <w:tcW w:w="5544" w:type="dxa"/>
            <w:shd w:val="clear" w:color="auto" w:fill="F1F5F8"/>
            <w:vAlign w:val="center"/>
          </w:tcPr>
          <w:p w14:paraId="030AEF03">
            <w:pPr>
              <w:spacing w:before="40" w:after="40" w:line="280" w:lineRule="exact"/>
            </w:pPr>
            <w:r>
              <w:rPr>
                <w:rFonts w:ascii="Arial Unicode MS" w:hAnsi="Arial Unicode MS" w:eastAsia="Arial Unicode MS"/>
                <w:b w:val="0"/>
                <w:color w:val="000000"/>
                <w:sz w:val="20"/>
              </w:rPr>
              <w:t>提供明确扩展点、API、开发文档及测试环境；区分标准配置与二次开发，约定升级兼容、源码/交付物及维护边界。</w:t>
            </w:r>
          </w:p>
        </w:tc>
        <w:tc>
          <w:tcPr>
            <w:tcW w:w="5256" w:type="dxa"/>
            <w:shd w:val="clear" w:color="auto" w:fill="F1F5F8"/>
            <w:vAlign w:val="center"/>
          </w:tcPr>
          <w:p w14:paraId="01C1B85B">
            <w:pPr>
              <w:spacing w:before="40" w:after="40" w:line="280" w:lineRule="exact"/>
            </w:pPr>
            <w:r>
              <w:rPr>
                <w:rFonts w:ascii="Arial Unicode MS" w:hAnsi="Arial Unicode MS" w:eastAsia="Arial Unicode MS"/>
                <w:b w:val="0"/>
                <w:color w:val="000000"/>
                <w:sz w:val="20"/>
              </w:rPr>
              <w:t>验证新增字段/产品/工厂/设备适配后升级回归；不能以微服务标签代替可维护性。</w:t>
            </w:r>
          </w:p>
        </w:tc>
        <w:tc>
          <w:tcPr>
            <w:tcW w:w="1152" w:type="dxa"/>
            <w:shd w:val="clear" w:color="auto" w:fill="F1F5F8"/>
            <w:vAlign w:val="center"/>
          </w:tcPr>
          <w:p w14:paraId="465B6B7C">
            <w:pPr>
              <w:spacing w:before="40" w:after="40" w:line="280" w:lineRule="exact"/>
              <w:jc w:val="center"/>
            </w:pPr>
            <w:r>
              <w:rPr>
                <w:rFonts w:ascii="Arial Unicode MS" w:hAnsi="Arial Unicode MS" w:eastAsia="Arial Unicode MS"/>
                <w:b w:val="0"/>
                <w:color w:val="000000"/>
                <w:sz w:val="20"/>
              </w:rPr>
              <w:t>P0</w:t>
            </w:r>
          </w:p>
        </w:tc>
      </w:tr>
      <w:tr w14:paraId="046C62D2">
        <w:trPr>
          <w:cantSplit/>
          <w:jc w:val="center"/>
        </w:trPr>
        <w:tc>
          <w:tcPr>
            <w:tcW w:w="1872" w:type="dxa"/>
            <w:vAlign w:val="center"/>
          </w:tcPr>
          <w:p w14:paraId="3DE687AB">
            <w:pPr>
              <w:spacing w:before="40" w:after="40" w:line="280" w:lineRule="exact"/>
            </w:pPr>
            <w:r>
              <w:rPr>
                <w:rFonts w:ascii="Arial Unicode MS" w:hAnsi="Arial Unicode MS" w:eastAsia="Arial Unicode MS"/>
                <w:b w:val="0"/>
                <w:color w:val="000000"/>
                <w:sz w:val="20"/>
              </w:rPr>
              <w:t>N09</w:t>
            </w:r>
            <w:r>
              <w:br w:type="textWrapping"/>
            </w:r>
            <w:r>
              <w:rPr>
                <w:rFonts w:ascii="Arial Unicode MS" w:hAnsi="Arial Unicode MS" w:eastAsia="Arial Unicode MS"/>
                <w:b w:val="0"/>
                <w:color w:val="000000"/>
                <w:sz w:val="20"/>
              </w:rPr>
              <w:t>发布、监控与维护交付</w:t>
            </w:r>
          </w:p>
        </w:tc>
        <w:tc>
          <w:tcPr>
            <w:tcW w:w="5544" w:type="dxa"/>
            <w:vAlign w:val="center"/>
          </w:tcPr>
          <w:p w14:paraId="0A26D45B">
            <w:pPr>
              <w:spacing w:before="40" w:after="40" w:line="280" w:lineRule="exact"/>
            </w:pPr>
            <w:r>
              <w:rPr>
                <w:rFonts w:ascii="Arial Unicode MS" w:hAnsi="Arial Unicode MS" w:eastAsia="Arial Unicode MS"/>
                <w:b w:val="0"/>
                <w:color w:val="000000"/>
                <w:sz w:val="20"/>
              </w:rPr>
              <w:t>环境、版本、配置及发布可追踪；接口/采集/容量/故障监控有负责人；交付架构、接口、运维手册和问题闭环。</w:t>
            </w:r>
          </w:p>
        </w:tc>
        <w:tc>
          <w:tcPr>
            <w:tcW w:w="5256" w:type="dxa"/>
            <w:vAlign w:val="center"/>
          </w:tcPr>
          <w:p w14:paraId="37B1EAFC">
            <w:pPr>
              <w:spacing w:before="40" w:after="40" w:line="280" w:lineRule="exact"/>
            </w:pPr>
            <w:r>
              <w:rPr>
                <w:rFonts w:ascii="Arial Unicode MS" w:hAnsi="Arial Unicode MS" w:eastAsia="Arial Unicode MS"/>
                <w:b w:val="0"/>
                <w:color w:val="000000"/>
                <w:sz w:val="20"/>
              </w:rPr>
              <w:t>验证发布失败回退、告警响应、版本追溯、日常运维和知识移交。</w:t>
            </w:r>
          </w:p>
        </w:tc>
        <w:tc>
          <w:tcPr>
            <w:tcW w:w="1152" w:type="dxa"/>
            <w:vAlign w:val="center"/>
          </w:tcPr>
          <w:p w14:paraId="53517763">
            <w:pPr>
              <w:spacing w:before="40" w:after="40" w:line="280" w:lineRule="exact"/>
              <w:jc w:val="center"/>
            </w:pPr>
            <w:r>
              <w:rPr>
                <w:rFonts w:ascii="Arial Unicode MS" w:hAnsi="Arial Unicode MS" w:eastAsia="Arial Unicode MS"/>
                <w:b w:val="0"/>
                <w:color w:val="000000"/>
                <w:sz w:val="20"/>
              </w:rPr>
              <w:t>P0</w:t>
            </w:r>
          </w:p>
        </w:tc>
      </w:tr>
      <w:tr w14:paraId="19E48860">
        <w:trPr>
          <w:cantSplit/>
          <w:jc w:val="center"/>
        </w:trPr>
        <w:tc>
          <w:tcPr>
            <w:tcW w:w="1872" w:type="dxa"/>
            <w:shd w:val="clear" w:color="auto" w:fill="F1F5F8"/>
            <w:vAlign w:val="center"/>
          </w:tcPr>
          <w:p w14:paraId="45E3AB77">
            <w:pPr>
              <w:spacing w:before="40" w:after="40" w:line="280" w:lineRule="exact"/>
            </w:pPr>
            <w:r>
              <w:rPr>
                <w:rFonts w:ascii="Arial Unicode MS" w:hAnsi="Arial Unicode MS" w:eastAsia="Arial Unicode MS"/>
                <w:b w:val="0"/>
                <w:color w:val="000000"/>
                <w:sz w:val="20"/>
              </w:rPr>
              <w:t>N10</w:t>
            </w:r>
            <w:r>
              <w:br w:type="textWrapping"/>
            </w:r>
            <w:r>
              <w:rPr>
                <w:rFonts w:ascii="Arial Unicode MS" w:hAnsi="Arial Unicode MS" w:eastAsia="Arial Unicode MS"/>
                <w:b w:val="0"/>
                <w:color w:val="000000"/>
                <w:sz w:val="20"/>
              </w:rPr>
              <w:t>数据质量与时间一致性</w:t>
            </w:r>
          </w:p>
        </w:tc>
        <w:tc>
          <w:tcPr>
            <w:tcW w:w="5544" w:type="dxa"/>
            <w:shd w:val="clear" w:color="auto" w:fill="F1F5F8"/>
            <w:vAlign w:val="center"/>
          </w:tcPr>
          <w:p w14:paraId="055C77FC">
            <w:pPr>
              <w:spacing w:before="40" w:after="40" w:line="280" w:lineRule="exact"/>
            </w:pPr>
            <w:r>
              <w:rPr>
                <w:rFonts w:ascii="Arial Unicode MS" w:hAnsi="Arial Unicode MS" w:eastAsia="Arial Unicode MS"/>
                <w:b w:val="0"/>
                <w:color w:val="000000"/>
                <w:sz w:val="20"/>
              </w:rPr>
              <w:t>统一标识、单位、状态与时区/时间口径；必填/引用/唯一性受控；原始事件与处理时间分别保留。</w:t>
            </w:r>
          </w:p>
        </w:tc>
        <w:tc>
          <w:tcPr>
            <w:tcW w:w="5256" w:type="dxa"/>
            <w:shd w:val="clear" w:color="auto" w:fill="F1F5F8"/>
            <w:vAlign w:val="center"/>
          </w:tcPr>
          <w:p w14:paraId="42989332">
            <w:pPr>
              <w:spacing w:before="40" w:after="40" w:line="280" w:lineRule="exact"/>
            </w:pPr>
            <w:r>
              <w:rPr>
                <w:rFonts w:ascii="Arial Unicode MS" w:hAnsi="Arial Unicode MS" w:eastAsia="Arial Unicode MS"/>
                <w:b w:val="0"/>
                <w:color w:val="000000"/>
                <w:sz w:val="20"/>
              </w:rPr>
              <w:t>验证缺项、冲突、时钟偏差、晚到及更正；异常清单有责任和关闭记录。</w:t>
            </w:r>
          </w:p>
        </w:tc>
        <w:tc>
          <w:tcPr>
            <w:tcW w:w="1152" w:type="dxa"/>
            <w:shd w:val="clear" w:color="auto" w:fill="F1F5F8"/>
            <w:vAlign w:val="center"/>
          </w:tcPr>
          <w:p w14:paraId="5F239787">
            <w:pPr>
              <w:spacing w:before="40" w:after="40" w:line="280" w:lineRule="exact"/>
              <w:jc w:val="center"/>
            </w:pPr>
            <w:r>
              <w:rPr>
                <w:rFonts w:ascii="Arial Unicode MS" w:hAnsi="Arial Unicode MS" w:eastAsia="Arial Unicode MS"/>
                <w:b w:val="0"/>
                <w:color w:val="000000"/>
                <w:sz w:val="20"/>
              </w:rPr>
              <w:t>P0</w:t>
            </w:r>
          </w:p>
        </w:tc>
      </w:tr>
      <w:tr w14:paraId="0F1A6DB0">
        <w:trPr>
          <w:cantSplit/>
          <w:jc w:val="center"/>
        </w:trPr>
        <w:tc>
          <w:tcPr>
            <w:tcW w:w="1872" w:type="dxa"/>
            <w:vAlign w:val="center"/>
          </w:tcPr>
          <w:p w14:paraId="229F5473">
            <w:pPr>
              <w:spacing w:before="40" w:after="40" w:line="280" w:lineRule="exact"/>
            </w:pPr>
            <w:r>
              <w:rPr>
                <w:rFonts w:ascii="Arial Unicode MS" w:hAnsi="Arial Unicode MS" w:eastAsia="Arial Unicode MS"/>
                <w:b w:val="0"/>
                <w:color w:val="000000"/>
                <w:sz w:val="20"/>
              </w:rPr>
              <w:t>N11</w:t>
            </w:r>
            <w:r>
              <w:br w:type="textWrapping"/>
            </w:r>
            <w:r>
              <w:rPr>
                <w:rFonts w:ascii="Arial Unicode MS" w:hAnsi="Arial Unicode MS" w:eastAsia="Arial Unicode MS"/>
                <w:b w:val="0"/>
                <w:color w:val="000000"/>
                <w:sz w:val="20"/>
              </w:rPr>
              <w:t>集成事务完整性</w:t>
            </w:r>
          </w:p>
        </w:tc>
        <w:tc>
          <w:tcPr>
            <w:tcW w:w="5544" w:type="dxa"/>
            <w:vAlign w:val="center"/>
          </w:tcPr>
          <w:p w14:paraId="370C3655">
            <w:pPr>
              <w:spacing w:before="40" w:after="40" w:line="280" w:lineRule="exact"/>
            </w:pPr>
            <w:r>
              <w:rPr>
                <w:rFonts w:ascii="Arial Unicode MS" w:hAnsi="Arial Unicode MS" w:eastAsia="Arial Unicode MS"/>
                <w:b w:val="0"/>
                <w:color w:val="000000"/>
                <w:sz w:val="20"/>
              </w:rPr>
              <w:t>按新增、变更、取消、执行反馈建立接口契约和事件ID；支持幂等、超时重试、顺序/版本检查、补偿、人工处理及对账。</w:t>
            </w:r>
          </w:p>
        </w:tc>
        <w:tc>
          <w:tcPr>
            <w:tcW w:w="5256" w:type="dxa"/>
            <w:vAlign w:val="center"/>
          </w:tcPr>
          <w:p w14:paraId="33A5F040">
            <w:pPr>
              <w:spacing w:before="40" w:after="40" w:line="280" w:lineRule="exact"/>
            </w:pPr>
            <w:r>
              <w:rPr>
                <w:rFonts w:ascii="Arial Unicode MS" w:hAnsi="Arial Unicode MS" w:eastAsia="Arial Unicode MS"/>
                <w:b w:val="0"/>
                <w:color w:val="000000"/>
                <w:sz w:val="20"/>
              </w:rPr>
              <w:t>至少验证重复、乱序、丢失、部分成功、跨系统取消、ERP成功MES超时和重发不重复扣料；明确双方职责。</w:t>
            </w:r>
          </w:p>
        </w:tc>
        <w:tc>
          <w:tcPr>
            <w:tcW w:w="1152" w:type="dxa"/>
            <w:vAlign w:val="center"/>
          </w:tcPr>
          <w:p w14:paraId="19758D42">
            <w:pPr>
              <w:spacing w:before="40" w:after="40" w:line="280" w:lineRule="exact"/>
              <w:jc w:val="center"/>
            </w:pPr>
            <w:r>
              <w:rPr>
                <w:rFonts w:ascii="Arial Unicode MS" w:hAnsi="Arial Unicode MS" w:eastAsia="Arial Unicode MS"/>
                <w:b w:val="0"/>
                <w:color w:val="000000"/>
                <w:sz w:val="20"/>
              </w:rPr>
              <w:t>P0</w:t>
            </w:r>
          </w:p>
        </w:tc>
      </w:tr>
      <w:tr w14:paraId="71676FC3">
        <w:trPr>
          <w:cantSplit/>
          <w:jc w:val="center"/>
        </w:trPr>
        <w:tc>
          <w:tcPr>
            <w:tcW w:w="1872" w:type="dxa"/>
            <w:shd w:val="clear" w:color="auto" w:fill="F1F5F8"/>
            <w:vAlign w:val="center"/>
          </w:tcPr>
          <w:p w14:paraId="4492F1AF">
            <w:pPr>
              <w:spacing w:before="40" w:after="40" w:line="280" w:lineRule="exact"/>
            </w:pPr>
            <w:r>
              <w:rPr>
                <w:rFonts w:ascii="Arial Unicode MS" w:hAnsi="Arial Unicode MS" w:eastAsia="Arial Unicode MS"/>
                <w:b w:val="0"/>
                <w:color w:val="000000"/>
                <w:sz w:val="20"/>
              </w:rPr>
              <w:t>N12</w:t>
            </w:r>
            <w:r>
              <w:br w:type="textWrapping"/>
            </w:r>
            <w:r>
              <w:rPr>
                <w:rFonts w:ascii="Arial Unicode MS" w:hAnsi="Arial Unicode MS" w:eastAsia="Arial Unicode MS"/>
                <w:b w:val="0"/>
                <w:color w:val="000000"/>
                <w:sz w:val="20"/>
              </w:rPr>
              <w:t>现场采集缓存与补传</w:t>
            </w:r>
          </w:p>
        </w:tc>
        <w:tc>
          <w:tcPr>
            <w:tcW w:w="5544" w:type="dxa"/>
            <w:shd w:val="clear" w:color="auto" w:fill="F1F5F8"/>
            <w:vAlign w:val="center"/>
          </w:tcPr>
          <w:p w14:paraId="2F8B84A5">
            <w:pPr>
              <w:spacing w:before="40" w:after="40" w:line="280" w:lineRule="exact"/>
            </w:pPr>
            <w:r>
              <w:rPr>
                <w:rFonts w:ascii="Arial Unicode MS" w:hAnsi="Arial Unicode MS" w:eastAsia="Arial Unicode MS"/>
                <w:b w:val="0"/>
                <w:color w:val="000000"/>
                <w:sz w:val="20"/>
              </w:rPr>
              <w:t>采集链按批准缓存策略记录原始身份/时间/结果；补传可去重并能定位缺口。</w:t>
            </w:r>
          </w:p>
        </w:tc>
        <w:tc>
          <w:tcPr>
            <w:tcW w:w="5256" w:type="dxa"/>
            <w:shd w:val="clear" w:color="auto" w:fill="F1F5F8"/>
            <w:vAlign w:val="center"/>
          </w:tcPr>
          <w:p w14:paraId="64AE0DAF">
            <w:pPr>
              <w:spacing w:before="40" w:after="40" w:line="280" w:lineRule="exact"/>
            </w:pPr>
            <w:r>
              <w:rPr>
                <w:rFonts w:ascii="Arial Unicode MS" w:hAnsi="Arial Unicode MS" w:eastAsia="Arial Unicode MS"/>
                <w:b w:val="0"/>
                <w:color w:val="000000"/>
                <w:sz w:val="20"/>
              </w:rPr>
              <w:t>验证测试端或网络中断、重启、积压、重复上报和恢复补传，不能以重测覆盖原始失败记录。</w:t>
            </w:r>
          </w:p>
        </w:tc>
        <w:tc>
          <w:tcPr>
            <w:tcW w:w="1152" w:type="dxa"/>
            <w:shd w:val="clear" w:color="auto" w:fill="F1F5F8"/>
            <w:vAlign w:val="center"/>
          </w:tcPr>
          <w:p w14:paraId="31C7DF20">
            <w:pPr>
              <w:spacing w:before="40" w:after="40" w:line="280" w:lineRule="exact"/>
              <w:jc w:val="center"/>
            </w:pPr>
            <w:r>
              <w:rPr>
                <w:rFonts w:ascii="Arial Unicode MS" w:hAnsi="Arial Unicode MS" w:eastAsia="Arial Unicode MS"/>
                <w:b w:val="0"/>
                <w:color w:val="000000"/>
                <w:sz w:val="20"/>
              </w:rPr>
              <w:t>P0</w:t>
            </w:r>
          </w:p>
        </w:tc>
      </w:tr>
      <w:tr w14:paraId="63451130">
        <w:trPr>
          <w:cantSplit/>
          <w:jc w:val="center"/>
        </w:trPr>
        <w:tc>
          <w:tcPr>
            <w:tcW w:w="1872" w:type="dxa"/>
            <w:vAlign w:val="center"/>
          </w:tcPr>
          <w:p w14:paraId="6DA480D8">
            <w:pPr>
              <w:spacing w:before="40" w:after="40" w:line="280" w:lineRule="exact"/>
            </w:pPr>
            <w:r>
              <w:rPr>
                <w:rFonts w:ascii="Arial Unicode MS" w:hAnsi="Arial Unicode MS" w:eastAsia="Arial Unicode MS"/>
                <w:b w:val="0"/>
                <w:color w:val="000000"/>
                <w:sz w:val="20"/>
              </w:rPr>
              <w:t>N13</w:t>
            </w:r>
            <w:r>
              <w:br w:type="textWrapping"/>
            </w:r>
            <w:r>
              <w:rPr>
                <w:rFonts w:ascii="Arial Unicode MS" w:hAnsi="Arial Unicode MS" w:eastAsia="Arial Unicode MS"/>
                <w:b w:val="0"/>
                <w:color w:val="000000"/>
                <w:sz w:val="20"/>
              </w:rPr>
              <w:t>迁移、切换及历史连续性</w:t>
            </w:r>
          </w:p>
        </w:tc>
        <w:tc>
          <w:tcPr>
            <w:tcW w:w="5544" w:type="dxa"/>
            <w:vAlign w:val="center"/>
          </w:tcPr>
          <w:p w14:paraId="61A2FD7A">
            <w:pPr>
              <w:spacing w:before="40" w:after="40" w:line="280" w:lineRule="exact"/>
            </w:pPr>
            <w:r>
              <w:rPr>
                <w:rFonts w:ascii="Arial Unicode MS" w:hAnsi="Arial Unicode MS" w:eastAsia="Arial Unicode MS"/>
                <w:b w:val="0"/>
                <w:color w:val="000000"/>
                <w:sz w:val="20"/>
              </w:rPr>
              <w:t>将主数据、在制、SN/关键件、历史结果与附件分层迁移或归档；配置核验、增量、切换和回退条件。</w:t>
            </w:r>
          </w:p>
        </w:tc>
        <w:tc>
          <w:tcPr>
            <w:tcW w:w="5256" w:type="dxa"/>
            <w:vAlign w:val="center"/>
          </w:tcPr>
          <w:p w14:paraId="5FADFBA3">
            <w:pPr>
              <w:spacing w:before="40" w:after="40" w:line="280" w:lineRule="exact"/>
            </w:pPr>
            <w:r>
              <w:rPr>
                <w:rFonts w:ascii="Arial Unicode MS" w:hAnsi="Arial Unicode MS" w:eastAsia="Arial Unicode MS"/>
                <w:b w:val="0"/>
                <w:color w:val="000000"/>
                <w:sz w:val="20"/>
              </w:rPr>
              <w:t>以冻结快照对账主键、数量、状态、谱系和附件；分别验证在制续作、历史查询及回退。</w:t>
            </w:r>
          </w:p>
        </w:tc>
        <w:tc>
          <w:tcPr>
            <w:tcW w:w="1152" w:type="dxa"/>
            <w:vAlign w:val="center"/>
          </w:tcPr>
          <w:p w14:paraId="74AC92EE">
            <w:pPr>
              <w:spacing w:before="40" w:after="40" w:line="280" w:lineRule="exact"/>
              <w:jc w:val="center"/>
            </w:pPr>
            <w:r>
              <w:rPr>
                <w:rFonts w:ascii="Arial Unicode MS" w:hAnsi="Arial Unicode MS" w:eastAsia="Arial Unicode MS"/>
                <w:b w:val="0"/>
                <w:color w:val="000000"/>
                <w:sz w:val="20"/>
              </w:rPr>
              <w:t>P0</w:t>
            </w:r>
          </w:p>
        </w:tc>
      </w:tr>
      <w:tr w14:paraId="64F378AC">
        <w:trPr>
          <w:cantSplit/>
          <w:jc w:val="center"/>
        </w:trPr>
        <w:tc>
          <w:tcPr>
            <w:tcW w:w="1872" w:type="dxa"/>
            <w:shd w:val="clear" w:color="auto" w:fill="F1F5F8"/>
            <w:vAlign w:val="center"/>
          </w:tcPr>
          <w:p w14:paraId="14E1092D">
            <w:pPr>
              <w:spacing w:before="40" w:after="40" w:line="280" w:lineRule="exact"/>
            </w:pPr>
            <w:r>
              <w:rPr>
                <w:rFonts w:ascii="Arial Unicode MS" w:hAnsi="Arial Unicode MS" w:eastAsia="Arial Unicode MS"/>
                <w:b w:val="0"/>
                <w:color w:val="000000"/>
                <w:sz w:val="20"/>
              </w:rPr>
              <w:t>N14</w:t>
            </w:r>
            <w:r>
              <w:br w:type="textWrapping"/>
            </w:r>
            <w:r>
              <w:rPr>
                <w:rFonts w:ascii="Arial Unicode MS" w:hAnsi="Arial Unicode MS" w:eastAsia="Arial Unicode MS"/>
                <w:b w:val="0"/>
                <w:color w:val="000000"/>
                <w:sz w:val="20"/>
              </w:rPr>
              <w:t>数据可导出与服务退出</w:t>
            </w:r>
          </w:p>
        </w:tc>
        <w:tc>
          <w:tcPr>
            <w:tcW w:w="5544" w:type="dxa"/>
            <w:shd w:val="clear" w:color="auto" w:fill="F1F5F8"/>
            <w:vAlign w:val="center"/>
          </w:tcPr>
          <w:p w14:paraId="6B74779E">
            <w:pPr>
              <w:spacing w:before="40" w:after="40" w:line="280" w:lineRule="exact"/>
            </w:pPr>
            <w:r>
              <w:rPr>
                <w:rFonts w:ascii="Arial Unicode MS" w:hAnsi="Arial Unicode MS" w:eastAsia="Arial Unicode MS"/>
                <w:b w:val="0"/>
                <w:color w:val="000000"/>
                <w:sz w:val="20"/>
              </w:rPr>
              <w:t>约定开放导出结构、字段字典、附件索引、授权和退出支持，保障合同终止及更换平台后长期可访问。</w:t>
            </w:r>
          </w:p>
        </w:tc>
        <w:tc>
          <w:tcPr>
            <w:tcW w:w="5256" w:type="dxa"/>
            <w:shd w:val="clear" w:color="auto" w:fill="F1F5F8"/>
            <w:vAlign w:val="center"/>
          </w:tcPr>
          <w:p w14:paraId="3DD59B34">
            <w:pPr>
              <w:spacing w:before="40" w:after="40" w:line="280" w:lineRule="exact"/>
            </w:pPr>
            <w:r>
              <w:rPr>
                <w:rFonts w:ascii="Arial Unicode MS" w:hAnsi="Arial Unicode MS" w:eastAsia="Arial Unicode MS"/>
                <w:b w:val="0"/>
                <w:color w:val="000000"/>
                <w:sz w:val="20"/>
              </w:rPr>
              <w:t>验证独立读取导出记录和附件、批量性能、完整性及历史访问；业务数据归属与费用边界写入合同。</w:t>
            </w:r>
          </w:p>
        </w:tc>
        <w:tc>
          <w:tcPr>
            <w:tcW w:w="1152" w:type="dxa"/>
            <w:shd w:val="clear" w:color="auto" w:fill="F1F5F8"/>
            <w:vAlign w:val="center"/>
          </w:tcPr>
          <w:p w14:paraId="30FAEBDC">
            <w:pPr>
              <w:spacing w:before="40" w:after="40" w:line="280" w:lineRule="exact"/>
              <w:jc w:val="center"/>
            </w:pPr>
            <w:r>
              <w:rPr>
                <w:rFonts w:ascii="Arial Unicode MS" w:hAnsi="Arial Unicode MS" w:eastAsia="Arial Unicode MS"/>
                <w:b w:val="0"/>
                <w:color w:val="000000"/>
                <w:sz w:val="20"/>
              </w:rPr>
              <w:t>P0</w:t>
            </w:r>
          </w:p>
        </w:tc>
      </w:tr>
    </w:tbl>
    <w:p w14:paraId="100F85F2">
      <w:pPr>
        <w:spacing w:before="20" w:after="20" w:line="120" w:lineRule="auto"/>
      </w:pPr>
    </w:p>
    <w:p w14:paraId="7309D968">
      <w:pPr>
        <w:pStyle w:val="4"/>
        <w:pageBreakBefore w:val="0"/>
      </w:pPr>
      <w:bookmarkStart w:id="16" w:name="metrics"/>
      <w:r>
        <w:rPr>
          <w:rFonts w:ascii="Arial Unicode MS" w:hAnsi="Arial Unicode MS" w:eastAsia="Arial Unicode MS"/>
          <w:b/>
          <w:color w:val="000000"/>
        </w:rPr>
        <w:t>验收指标</w:t>
      </w:r>
      <w:bookmarkEnd w:id="16"/>
    </w:p>
    <w:p w14:paraId="74D997E6">
      <w:r>
        <w:rPr>
          <w:rFonts w:ascii="Arial Unicode MS" w:hAnsi="Arial Unicode MS" w:eastAsia="Arial Unicode MS"/>
          <w:color w:val="000000"/>
        </w:rPr>
        <w:t>A01至A16为深圳试点建议验收口径，正式目标、范围、基线、样本及阈值由项目批准后确定，不是既有系统实测结果或已承诺指标。建议W为首批深圳试点正式试运行开始后连续20个生产工作日，按批准日历统计，覆盖批准试点产品、产线、检验及接口；事件采用统一时钟，排除项预先批准并单列。业务正确性与性能共同验证，机加工后续专项不计入深圳试点分母。</w:t>
      </w:r>
    </w:p>
    <w:p w14:paraId="1AFFF464">
      <w:r>
        <w:rPr>
          <w:rFonts w:ascii="Arial Unicode MS" w:hAnsi="Arial Unicode MS" w:eastAsia="Arial Unicode MS"/>
          <w:color w:val="000000"/>
          <w:sz w:val="21"/>
        </w:rPr>
        <w:t>实际未发生的异常使用预定专项业务用例验证，模拟结果与真实运行统计分别报告。分母为零的指标记为不适用，不记为100%。迁移和恢复按切换前专项窗口验证；性能在批准峰值负载和深圳试点终端网络下验证。</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4435"/>
        <w:gridCol w:w="1757"/>
        <w:gridCol w:w="1440"/>
        <w:gridCol w:w="2621"/>
        <w:gridCol w:w="1915"/>
      </w:tblGrid>
      <w:tr w14:paraId="53E87717">
        <w:trPr>
          <w:cantSplit/>
          <w:tblHeader/>
          <w:jc w:val="center"/>
        </w:trPr>
        <w:tc>
          <w:tcPr>
            <w:tcW w:w="1656" w:type="dxa"/>
            <w:shd w:val="clear" w:color="auto" w:fill="234A68"/>
            <w:vAlign w:val="center"/>
          </w:tcPr>
          <w:p w14:paraId="63C3496B">
            <w:pPr>
              <w:keepNext/>
              <w:spacing w:before="40" w:after="40" w:line="280" w:lineRule="exact"/>
              <w:jc w:val="center"/>
            </w:pPr>
            <w:r>
              <w:rPr>
                <w:rFonts w:ascii="Arial Unicode MS" w:hAnsi="Arial Unicode MS" w:eastAsia="Arial Unicode MS"/>
                <w:b/>
                <w:color w:val="FFFFFF"/>
                <w:sz w:val="19"/>
              </w:rPr>
              <w:t>指标</w:t>
            </w:r>
          </w:p>
        </w:tc>
        <w:tc>
          <w:tcPr>
            <w:tcW w:w="4435" w:type="dxa"/>
            <w:shd w:val="clear" w:color="auto" w:fill="234A68"/>
            <w:vAlign w:val="center"/>
          </w:tcPr>
          <w:p w14:paraId="61571BD3">
            <w:pPr>
              <w:keepNext/>
              <w:spacing w:before="40" w:after="40" w:line="280" w:lineRule="exact"/>
              <w:jc w:val="center"/>
            </w:pPr>
            <w:r>
              <w:rPr>
                <w:rFonts w:ascii="Arial Unicode MS" w:hAnsi="Arial Unicode MS" w:eastAsia="Arial Unicode MS"/>
                <w:b/>
                <w:color w:val="FFFFFF"/>
                <w:sz w:val="19"/>
              </w:rPr>
              <w:t>对象及计算规则</w:t>
            </w:r>
          </w:p>
        </w:tc>
        <w:tc>
          <w:tcPr>
            <w:tcW w:w="1757" w:type="dxa"/>
            <w:shd w:val="clear" w:color="auto" w:fill="234A68"/>
            <w:vAlign w:val="center"/>
          </w:tcPr>
          <w:p w14:paraId="14B63068">
            <w:pPr>
              <w:keepNext/>
              <w:spacing w:before="40" w:after="40" w:line="280" w:lineRule="exact"/>
              <w:jc w:val="center"/>
            </w:pPr>
            <w:r>
              <w:rPr>
                <w:rFonts w:ascii="Arial Unicode MS" w:hAnsi="Arial Unicode MS" w:eastAsia="Arial Unicode MS"/>
                <w:b/>
                <w:color w:val="FFFFFF"/>
                <w:sz w:val="19"/>
              </w:rPr>
              <w:t>数据源</w:t>
            </w:r>
          </w:p>
        </w:tc>
        <w:tc>
          <w:tcPr>
            <w:tcW w:w="1440" w:type="dxa"/>
            <w:shd w:val="clear" w:color="auto" w:fill="234A68"/>
            <w:vAlign w:val="center"/>
          </w:tcPr>
          <w:p w14:paraId="1E290D26">
            <w:pPr>
              <w:keepNext/>
              <w:spacing w:before="40" w:after="40" w:line="280" w:lineRule="exact"/>
              <w:jc w:val="center"/>
            </w:pPr>
            <w:r>
              <w:rPr>
                <w:rFonts w:ascii="Arial Unicode MS" w:hAnsi="Arial Unicode MS" w:eastAsia="Arial Unicode MS"/>
                <w:b/>
                <w:color w:val="FFFFFF"/>
                <w:sz w:val="19"/>
              </w:rPr>
              <w:t>建议目标</w:t>
            </w:r>
          </w:p>
        </w:tc>
        <w:tc>
          <w:tcPr>
            <w:tcW w:w="2621" w:type="dxa"/>
            <w:shd w:val="clear" w:color="auto" w:fill="234A68"/>
            <w:vAlign w:val="center"/>
          </w:tcPr>
          <w:p w14:paraId="0E869AB6">
            <w:pPr>
              <w:keepNext/>
              <w:spacing w:before="40" w:after="40" w:line="280" w:lineRule="exact"/>
              <w:jc w:val="center"/>
            </w:pPr>
            <w:r>
              <w:rPr>
                <w:rFonts w:ascii="Arial Unicode MS" w:hAnsi="Arial Unicode MS" w:eastAsia="Arial Unicode MS"/>
                <w:b/>
                <w:color w:val="FFFFFF"/>
                <w:sz w:val="19"/>
              </w:rPr>
              <w:t>窗口及样本</w:t>
            </w:r>
          </w:p>
        </w:tc>
        <w:tc>
          <w:tcPr>
            <w:tcW w:w="1915" w:type="dxa"/>
            <w:shd w:val="clear" w:color="auto" w:fill="234A68"/>
            <w:vAlign w:val="center"/>
          </w:tcPr>
          <w:p w14:paraId="46363783">
            <w:pPr>
              <w:keepNext/>
              <w:spacing w:before="40" w:after="40" w:line="280" w:lineRule="exact"/>
              <w:jc w:val="center"/>
            </w:pPr>
            <w:r>
              <w:rPr>
                <w:rFonts w:ascii="Arial Unicode MS" w:hAnsi="Arial Unicode MS" w:eastAsia="Arial Unicode MS"/>
                <w:b/>
                <w:color w:val="FFFFFF"/>
                <w:sz w:val="19"/>
              </w:rPr>
              <w:t>责任岗位 能力</w:t>
            </w:r>
          </w:p>
        </w:tc>
      </w:tr>
      <w:tr w14:paraId="01620C28">
        <w:trPr>
          <w:cantSplit/>
          <w:jc w:val="center"/>
        </w:trPr>
        <w:tc>
          <w:tcPr>
            <w:tcW w:w="1656" w:type="dxa"/>
            <w:vAlign w:val="center"/>
          </w:tcPr>
          <w:p w14:paraId="02A4DC06">
            <w:pPr>
              <w:spacing w:before="40" w:after="40" w:line="280" w:lineRule="exact"/>
            </w:pPr>
            <w:r>
              <w:rPr>
                <w:rFonts w:ascii="Arial Unicode MS" w:hAnsi="Arial Unicode MS" w:eastAsia="Arial Unicode MS"/>
                <w:b w:val="0"/>
                <w:color w:val="000000"/>
                <w:sz w:val="19"/>
              </w:rPr>
              <w:t>A01工程执行依据有效率</w:t>
            </w:r>
          </w:p>
        </w:tc>
        <w:tc>
          <w:tcPr>
            <w:tcW w:w="4435" w:type="dxa"/>
            <w:vAlign w:val="center"/>
          </w:tcPr>
          <w:p w14:paraId="0B64A1A0">
            <w:pPr>
              <w:spacing w:before="40" w:after="40" w:line="280" w:lineRule="exact"/>
            </w:pPr>
            <w:r>
              <w:rPr>
                <w:rFonts w:ascii="Arial Unicode MS" w:hAnsi="Arial Unicode MS" w:eastAsia="Arial Unicode MS"/>
                <w:b w:val="0"/>
                <w:color w:val="000000"/>
                <w:sz w:val="19"/>
              </w:rPr>
              <w:t>具有齐备已发布必需资料，或有效批准偏离且满足不可豁免质量底线的任务数 ÷ 进入执行的任务数 ×100%。BOM/路线、关键SOP及必要测试及检验依据纳入；偏离比例单列。</w:t>
            </w:r>
          </w:p>
        </w:tc>
        <w:tc>
          <w:tcPr>
            <w:tcW w:w="1757" w:type="dxa"/>
            <w:vAlign w:val="center"/>
          </w:tcPr>
          <w:p w14:paraId="11AFCDA8">
            <w:pPr>
              <w:spacing w:before="40" w:after="40" w:line="280" w:lineRule="exact"/>
            </w:pPr>
            <w:r>
              <w:rPr>
                <w:rFonts w:ascii="Arial Unicode MS" w:hAnsi="Arial Unicode MS" w:eastAsia="Arial Unicode MS"/>
                <w:b w:val="0"/>
                <w:color w:val="000000"/>
                <w:sz w:val="19"/>
              </w:rPr>
              <w:t>工程发布记录、MES任务及资料版本引用</w:t>
            </w:r>
          </w:p>
        </w:tc>
        <w:tc>
          <w:tcPr>
            <w:tcW w:w="1440" w:type="dxa"/>
            <w:vAlign w:val="center"/>
          </w:tcPr>
          <w:p w14:paraId="167E44C4">
            <w:pPr>
              <w:spacing w:before="40" w:after="40" w:line="280" w:lineRule="exact"/>
              <w:jc w:val="center"/>
            </w:pPr>
            <w:r>
              <w:rPr>
                <w:rFonts w:ascii="Arial Unicode MS" w:hAnsi="Arial Unicode MS" w:eastAsia="Arial Unicode MS"/>
                <w:b w:val="0"/>
                <w:color w:val="000000"/>
                <w:sz w:val="19"/>
              </w:rPr>
              <w:t>100%</w:t>
            </w:r>
          </w:p>
        </w:tc>
        <w:tc>
          <w:tcPr>
            <w:tcW w:w="2621" w:type="dxa"/>
            <w:vAlign w:val="center"/>
          </w:tcPr>
          <w:p w14:paraId="6DA493D2">
            <w:pPr>
              <w:spacing w:before="40" w:after="40" w:line="280" w:lineRule="exact"/>
            </w:pPr>
            <w:r>
              <w:rPr>
                <w:rFonts w:ascii="Arial Unicode MS" w:hAnsi="Arial Unicode MS" w:eastAsia="Arial Unicode MS"/>
                <w:b w:val="0"/>
                <w:color w:val="000000"/>
                <w:sz w:val="19"/>
              </w:rPr>
              <w:t>W窗口全量任务；覆盖至少3个产品配置和首产场景；验证纸电更版、撤回及批准等待条件适用</w:t>
            </w:r>
          </w:p>
        </w:tc>
        <w:tc>
          <w:tcPr>
            <w:tcW w:w="1915" w:type="dxa"/>
            <w:vAlign w:val="center"/>
          </w:tcPr>
          <w:p w14:paraId="6A564EDD">
            <w:pPr>
              <w:spacing w:before="40" w:after="40" w:line="280" w:lineRule="exact"/>
            </w:pPr>
            <w:r>
              <w:rPr>
                <w:rFonts w:ascii="Arial Unicode MS" w:hAnsi="Arial Unicode MS" w:eastAsia="Arial Unicode MS"/>
                <w:b w:val="0"/>
                <w:color w:val="000000"/>
                <w:sz w:val="19"/>
              </w:rPr>
              <w:t>AR2 AR562 AR56</w:t>
            </w:r>
            <w:r>
              <w:br w:type="textWrapping"/>
            </w:r>
            <w:r>
              <w:rPr>
                <w:rFonts w:ascii="Arial Unicode MS" w:hAnsi="Arial Unicode MS" w:eastAsia="Arial Unicode MS"/>
                <w:b w:val="0"/>
                <w:color w:val="000000"/>
                <w:sz w:val="19"/>
              </w:rPr>
              <w:t>F14 F15 F16 F17 F59</w:t>
            </w:r>
          </w:p>
        </w:tc>
      </w:tr>
      <w:tr w14:paraId="1A8D427C">
        <w:trPr>
          <w:cantSplit/>
          <w:jc w:val="center"/>
        </w:trPr>
        <w:tc>
          <w:tcPr>
            <w:tcW w:w="1656" w:type="dxa"/>
            <w:shd w:val="clear" w:color="auto" w:fill="F1F5F8"/>
            <w:vAlign w:val="center"/>
          </w:tcPr>
          <w:p w14:paraId="1F2AC479">
            <w:pPr>
              <w:spacing w:before="40" w:after="40" w:line="280" w:lineRule="exact"/>
            </w:pPr>
            <w:r>
              <w:rPr>
                <w:rFonts w:ascii="Arial Unicode MS" w:hAnsi="Arial Unicode MS" w:eastAsia="Arial Unicode MS"/>
                <w:b w:val="0"/>
                <w:color w:val="000000"/>
                <w:sz w:val="19"/>
              </w:rPr>
              <w:t>A02跨系统最终一致率</w:t>
            </w:r>
          </w:p>
        </w:tc>
        <w:tc>
          <w:tcPr>
            <w:tcW w:w="4435" w:type="dxa"/>
            <w:shd w:val="clear" w:color="auto" w:fill="F1F5F8"/>
            <w:vAlign w:val="center"/>
          </w:tcPr>
          <w:p w14:paraId="040934AB">
            <w:pPr>
              <w:spacing w:before="40" w:after="40" w:line="280" w:lineRule="exact"/>
            </w:pPr>
            <w:r>
              <w:rPr>
                <w:rFonts w:ascii="Arial Unicode MS" w:hAnsi="Arial Unicode MS" w:eastAsia="Arial Unicode MS"/>
                <w:b w:val="0"/>
                <w:color w:val="000000"/>
                <w:sz w:val="19"/>
              </w:rPr>
              <w:t>已收敛且数量、主键、最终状态一致的下达/修改/取消事件数 ÷ 应同步事件数 ×100%；重发按事件ID去重；按组织、任务类型及转换关系分别核对，账务转换不虚增物理作业。</w:t>
            </w:r>
          </w:p>
        </w:tc>
        <w:tc>
          <w:tcPr>
            <w:tcW w:w="1757" w:type="dxa"/>
            <w:shd w:val="clear" w:color="auto" w:fill="F1F5F8"/>
            <w:vAlign w:val="center"/>
          </w:tcPr>
          <w:p w14:paraId="7741E119">
            <w:pPr>
              <w:spacing w:before="40" w:after="40" w:line="280" w:lineRule="exact"/>
            </w:pPr>
            <w:r>
              <w:rPr>
                <w:rFonts w:ascii="Arial Unicode MS" w:hAnsi="Arial Unicode MS" w:eastAsia="Arial Unicode MS"/>
                <w:b w:val="0"/>
                <w:color w:val="000000"/>
                <w:sz w:val="19"/>
              </w:rPr>
              <w:t>ERP单据状态、集成事件日志、MES状态快照</w:t>
            </w:r>
          </w:p>
        </w:tc>
        <w:tc>
          <w:tcPr>
            <w:tcW w:w="1440" w:type="dxa"/>
            <w:shd w:val="clear" w:color="auto" w:fill="F1F5F8"/>
            <w:vAlign w:val="center"/>
          </w:tcPr>
          <w:p w14:paraId="0271BA33">
            <w:pPr>
              <w:spacing w:before="40" w:after="40" w:line="280" w:lineRule="exact"/>
              <w:jc w:val="center"/>
            </w:pPr>
            <w:r>
              <w:rPr>
                <w:rFonts w:ascii="Arial Unicode MS" w:hAnsi="Arial Unicode MS" w:eastAsia="Arial Unicode MS"/>
                <w:b w:val="0"/>
                <w:color w:val="000000"/>
                <w:sz w:val="19"/>
              </w:rPr>
              <w:t>100%且无重复扣料/任务</w:t>
            </w:r>
          </w:p>
        </w:tc>
        <w:tc>
          <w:tcPr>
            <w:tcW w:w="2621" w:type="dxa"/>
            <w:shd w:val="clear" w:color="auto" w:fill="F1F5F8"/>
            <w:vAlign w:val="center"/>
          </w:tcPr>
          <w:p w14:paraId="623F6130">
            <w:pPr>
              <w:spacing w:before="40" w:after="40" w:line="280" w:lineRule="exact"/>
            </w:pPr>
            <w:r>
              <w:rPr>
                <w:rFonts w:ascii="Arial Unicode MS" w:hAnsi="Arial Unicode MS" w:eastAsia="Arial Unicode MS"/>
                <w:b w:val="0"/>
                <w:color w:val="000000"/>
                <w:sz w:val="19"/>
              </w:rPr>
              <w:t>W全量事件，另验证断网 重发和取消脚本</w:t>
            </w:r>
          </w:p>
        </w:tc>
        <w:tc>
          <w:tcPr>
            <w:tcW w:w="1915" w:type="dxa"/>
            <w:shd w:val="clear" w:color="auto" w:fill="F1F5F8"/>
            <w:vAlign w:val="center"/>
          </w:tcPr>
          <w:p w14:paraId="306C362D">
            <w:pPr>
              <w:spacing w:before="40" w:after="40" w:line="280" w:lineRule="exact"/>
            </w:pPr>
            <w:r>
              <w:rPr>
                <w:rFonts w:ascii="Arial Unicode MS" w:hAnsi="Arial Unicode MS" w:eastAsia="Arial Unicode MS"/>
                <w:b w:val="0"/>
                <w:color w:val="000000"/>
                <w:sz w:val="19"/>
              </w:rPr>
              <w:t>AR85 AR51 AR53</w:t>
            </w:r>
            <w:r>
              <w:br w:type="textWrapping"/>
            </w:r>
            <w:r>
              <w:rPr>
                <w:rFonts w:ascii="Arial Unicode MS" w:hAnsi="Arial Unicode MS" w:eastAsia="Arial Unicode MS"/>
                <w:b w:val="0"/>
                <w:color w:val="000000"/>
                <w:sz w:val="19"/>
              </w:rPr>
              <w:t>F11 F27 N11</w:t>
            </w:r>
          </w:p>
        </w:tc>
      </w:tr>
      <w:tr w14:paraId="62D0C664">
        <w:trPr>
          <w:cantSplit/>
          <w:jc w:val="center"/>
        </w:trPr>
        <w:tc>
          <w:tcPr>
            <w:tcW w:w="1656" w:type="dxa"/>
            <w:vAlign w:val="center"/>
          </w:tcPr>
          <w:p w14:paraId="7603E902">
            <w:pPr>
              <w:spacing w:before="40" w:after="40" w:line="280" w:lineRule="exact"/>
            </w:pPr>
            <w:r>
              <w:rPr>
                <w:rFonts w:ascii="Arial Unicode MS" w:hAnsi="Arial Unicode MS" w:eastAsia="Arial Unicode MS"/>
                <w:b w:val="0"/>
                <w:color w:val="000000"/>
                <w:sz w:val="19"/>
              </w:rPr>
              <w:t>A03接口及时率</w:t>
            </w:r>
          </w:p>
        </w:tc>
        <w:tc>
          <w:tcPr>
            <w:tcW w:w="4435" w:type="dxa"/>
            <w:vAlign w:val="center"/>
          </w:tcPr>
          <w:p w14:paraId="3BE38195">
            <w:pPr>
              <w:spacing w:before="40" w:after="40" w:line="280" w:lineRule="exact"/>
            </w:pPr>
            <w:r>
              <w:rPr>
                <w:rFonts w:ascii="Arial Unicode MS" w:hAnsi="Arial Unicode MS" w:eastAsia="Arial Unicode MS"/>
                <w:b w:val="0"/>
                <w:color w:val="000000"/>
                <w:sz w:val="19"/>
              </w:rPr>
              <w:t>ERP业务事件提交后60秒内完成MES接收的事件数 ÷ 应接收事件数 ×100%；维护窗口按预先批准记录排除。</w:t>
            </w:r>
          </w:p>
        </w:tc>
        <w:tc>
          <w:tcPr>
            <w:tcW w:w="1757" w:type="dxa"/>
            <w:vAlign w:val="center"/>
          </w:tcPr>
          <w:p w14:paraId="23FABEF2">
            <w:pPr>
              <w:spacing w:before="40" w:after="40" w:line="280" w:lineRule="exact"/>
            </w:pPr>
            <w:r>
              <w:rPr>
                <w:rFonts w:ascii="Arial Unicode MS" w:hAnsi="Arial Unicode MS" w:eastAsia="Arial Unicode MS"/>
                <w:b w:val="0"/>
                <w:color w:val="000000"/>
                <w:sz w:val="19"/>
              </w:rPr>
              <w:t>双方统一时钟的事件时间及接收日志</w:t>
            </w:r>
          </w:p>
        </w:tc>
        <w:tc>
          <w:tcPr>
            <w:tcW w:w="1440" w:type="dxa"/>
            <w:vAlign w:val="center"/>
          </w:tcPr>
          <w:p w14:paraId="7336F9AB">
            <w:pPr>
              <w:spacing w:before="40" w:after="40" w:line="280" w:lineRule="exact"/>
              <w:jc w:val="center"/>
            </w:pPr>
            <w:r>
              <w:rPr>
                <w:rFonts w:ascii="Arial Unicode MS" w:hAnsi="Arial Unicode MS" w:eastAsia="Arial Unicode MS"/>
                <w:b w:val="0"/>
                <w:color w:val="000000"/>
                <w:sz w:val="19"/>
              </w:rPr>
              <w:t>≥99%</w:t>
            </w:r>
          </w:p>
        </w:tc>
        <w:tc>
          <w:tcPr>
            <w:tcW w:w="2621" w:type="dxa"/>
            <w:vAlign w:val="center"/>
          </w:tcPr>
          <w:p w14:paraId="161F7EA9">
            <w:pPr>
              <w:spacing w:before="40" w:after="40" w:line="280" w:lineRule="exact"/>
            </w:pPr>
            <w:r>
              <w:rPr>
                <w:rFonts w:ascii="Arial Unicode MS" w:hAnsi="Arial Unicode MS" w:eastAsia="Arial Unicode MS"/>
                <w:b w:val="0"/>
                <w:color w:val="000000"/>
                <w:sz w:val="19"/>
              </w:rPr>
              <w:t>W全量事件，在批准峰值负载下复核</w:t>
            </w:r>
          </w:p>
        </w:tc>
        <w:tc>
          <w:tcPr>
            <w:tcW w:w="1915" w:type="dxa"/>
            <w:vAlign w:val="center"/>
          </w:tcPr>
          <w:p w14:paraId="3DC1303F">
            <w:pPr>
              <w:spacing w:before="40" w:after="40" w:line="280" w:lineRule="exact"/>
            </w:pPr>
            <w:r>
              <w:rPr>
                <w:rFonts w:ascii="Arial Unicode MS" w:hAnsi="Arial Unicode MS" w:eastAsia="Arial Unicode MS"/>
                <w:b w:val="0"/>
                <w:color w:val="000000"/>
                <w:sz w:val="19"/>
              </w:rPr>
              <w:t>AR85 AR84</w:t>
            </w:r>
            <w:r>
              <w:br w:type="textWrapping"/>
            </w:r>
            <w:r>
              <w:rPr>
                <w:rFonts w:ascii="Arial Unicode MS" w:hAnsi="Arial Unicode MS" w:eastAsia="Arial Unicode MS"/>
                <w:b w:val="0"/>
                <w:color w:val="000000"/>
                <w:sz w:val="19"/>
              </w:rPr>
              <w:t>N11 N04 N12</w:t>
            </w:r>
          </w:p>
        </w:tc>
      </w:tr>
      <w:tr w14:paraId="4ACBBC0C">
        <w:trPr>
          <w:cantSplit/>
          <w:jc w:val="center"/>
        </w:trPr>
        <w:tc>
          <w:tcPr>
            <w:tcW w:w="1656" w:type="dxa"/>
            <w:shd w:val="clear" w:color="auto" w:fill="F1F5F8"/>
            <w:vAlign w:val="center"/>
          </w:tcPr>
          <w:p w14:paraId="5A9F32E0">
            <w:pPr>
              <w:spacing w:before="40" w:after="40" w:line="280" w:lineRule="exact"/>
            </w:pPr>
            <w:r>
              <w:rPr>
                <w:rFonts w:ascii="Arial Unicode MS" w:hAnsi="Arial Unicode MS" w:eastAsia="Arial Unicode MS"/>
                <w:b w:val="0"/>
                <w:color w:val="000000"/>
                <w:sz w:val="19"/>
              </w:rPr>
              <w:t>A04关键节点报工及时率</w:t>
            </w:r>
          </w:p>
        </w:tc>
        <w:tc>
          <w:tcPr>
            <w:tcW w:w="4435" w:type="dxa"/>
            <w:shd w:val="clear" w:color="auto" w:fill="F1F5F8"/>
            <w:vAlign w:val="center"/>
          </w:tcPr>
          <w:p w14:paraId="5C9A0F39">
            <w:pPr>
              <w:spacing w:before="40" w:after="40" w:line="280" w:lineRule="exact"/>
            </w:pPr>
            <w:r>
              <w:rPr>
                <w:rFonts w:ascii="Arial Unicode MS" w:hAnsi="Arial Unicode MS" w:eastAsia="Arial Unicode MS"/>
                <w:b w:val="0"/>
                <w:color w:val="000000"/>
                <w:sz w:val="19"/>
              </w:rPr>
              <w:t>实际工序完成后5分钟内记录的事件数 ÷ 应记录完成事件数 ×100%；以测试结束日志或独立现场计时为完成时间，补录单列。</w:t>
            </w:r>
          </w:p>
        </w:tc>
        <w:tc>
          <w:tcPr>
            <w:tcW w:w="1757" w:type="dxa"/>
            <w:shd w:val="clear" w:color="auto" w:fill="F1F5F8"/>
            <w:vAlign w:val="center"/>
          </w:tcPr>
          <w:p w14:paraId="7F661CE2">
            <w:pPr>
              <w:spacing w:before="40" w:after="40" w:line="280" w:lineRule="exact"/>
            </w:pPr>
            <w:r>
              <w:rPr>
                <w:rFonts w:ascii="Arial Unicode MS" w:hAnsi="Arial Unicode MS" w:eastAsia="Arial Unicode MS"/>
                <w:b w:val="0"/>
                <w:color w:val="000000"/>
                <w:sz w:val="19"/>
              </w:rPr>
              <w:t>MES事件、产测完成时间及现场计时样本</w:t>
            </w:r>
          </w:p>
        </w:tc>
        <w:tc>
          <w:tcPr>
            <w:tcW w:w="1440" w:type="dxa"/>
            <w:shd w:val="clear" w:color="auto" w:fill="F1F5F8"/>
            <w:vAlign w:val="center"/>
          </w:tcPr>
          <w:p w14:paraId="077DEACE">
            <w:pPr>
              <w:spacing w:before="40" w:after="40" w:line="280" w:lineRule="exact"/>
              <w:jc w:val="center"/>
            </w:pPr>
            <w:r>
              <w:rPr>
                <w:rFonts w:ascii="Arial Unicode MS" w:hAnsi="Arial Unicode MS" w:eastAsia="Arial Unicode MS"/>
                <w:b w:val="0"/>
                <w:color w:val="000000"/>
                <w:sz w:val="19"/>
              </w:rPr>
              <w:t>≥95%</w:t>
            </w:r>
          </w:p>
        </w:tc>
        <w:tc>
          <w:tcPr>
            <w:tcW w:w="2621" w:type="dxa"/>
            <w:shd w:val="clear" w:color="auto" w:fill="F1F5F8"/>
            <w:vAlign w:val="center"/>
          </w:tcPr>
          <w:p w14:paraId="6FDEFC9E">
            <w:pPr>
              <w:spacing w:before="40" w:after="40" w:line="280" w:lineRule="exact"/>
            </w:pPr>
            <w:r>
              <w:rPr>
                <w:rFonts w:ascii="Arial Unicode MS" w:hAnsi="Arial Unicode MS" w:eastAsia="Arial Unicode MS"/>
                <w:b w:val="0"/>
                <w:color w:val="000000"/>
                <w:sz w:val="19"/>
              </w:rPr>
              <w:t>W全量自动记录；人工每产品配置不少于30个节点样本；专项验证型号数量派工、载具接续、换序跨线、部分完成及工位余量实物抽核，预测单列</w:t>
            </w:r>
          </w:p>
        </w:tc>
        <w:tc>
          <w:tcPr>
            <w:tcW w:w="1915" w:type="dxa"/>
            <w:shd w:val="clear" w:color="auto" w:fill="F1F5F8"/>
            <w:vAlign w:val="center"/>
          </w:tcPr>
          <w:p w14:paraId="5785F2A4">
            <w:pPr>
              <w:spacing w:before="40" w:after="40" w:line="280" w:lineRule="exact"/>
            </w:pPr>
            <w:r>
              <w:rPr>
                <w:rFonts w:ascii="Arial Unicode MS" w:hAnsi="Arial Unicode MS" w:eastAsia="Arial Unicode MS"/>
                <w:b w:val="0"/>
                <w:color w:val="000000"/>
                <w:sz w:val="19"/>
              </w:rPr>
              <w:t>AR56 AR51 AR87</w:t>
            </w:r>
            <w:r>
              <w:br w:type="textWrapping"/>
            </w:r>
            <w:r>
              <w:rPr>
                <w:rFonts w:ascii="Arial Unicode MS" w:hAnsi="Arial Unicode MS" w:eastAsia="Arial Unicode MS"/>
                <w:b w:val="0"/>
                <w:color w:val="000000"/>
                <w:sz w:val="19"/>
              </w:rPr>
              <w:t>F22 F46 F63</w:t>
            </w:r>
          </w:p>
        </w:tc>
      </w:tr>
      <w:tr w14:paraId="045FC36E">
        <w:trPr>
          <w:cantSplit/>
          <w:jc w:val="center"/>
        </w:trPr>
        <w:tc>
          <w:tcPr>
            <w:tcW w:w="1656" w:type="dxa"/>
            <w:vAlign w:val="center"/>
          </w:tcPr>
          <w:p w14:paraId="765687E4">
            <w:pPr>
              <w:spacing w:before="40" w:after="40" w:line="280" w:lineRule="exact"/>
            </w:pPr>
            <w:r>
              <w:rPr>
                <w:rFonts w:ascii="Arial Unicode MS" w:hAnsi="Arial Unicode MS" w:eastAsia="Arial Unicode MS"/>
                <w:b w:val="0"/>
                <w:color w:val="000000"/>
                <w:sz w:val="19"/>
              </w:rPr>
              <w:t>A05关键件谱系完整率</w:t>
            </w:r>
          </w:p>
        </w:tc>
        <w:tc>
          <w:tcPr>
            <w:tcW w:w="4435" w:type="dxa"/>
            <w:vAlign w:val="center"/>
          </w:tcPr>
          <w:p w14:paraId="2D1396F4">
            <w:pPr>
              <w:spacing w:before="40" w:after="40" w:line="280" w:lineRule="exact"/>
            </w:pPr>
            <w:r>
              <w:rPr>
                <w:rFonts w:ascii="Arial Unicode MS" w:hAnsi="Arial Unicode MS" w:eastAsia="Arial Unicode MS"/>
                <w:b w:val="0"/>
                <w:color w:val="000000"/>
                <w:sz w:val="19"/>
              </w:rPr>
              <w:t>具有批准关键件/来源批次、投入关系及全部换件事件的产品SN数 ÷ 应追溯产品SN数 ×100%；无法取得供应商批次时按已批准接收标识保留来源，并单列缺项。</w:t>
            </w:r>
          </w:p>
        </w:tc>
        <w:tc>
          <w:tcPr>
            <w:tcW w:w="1757" w:type="dxa"/>
            <w:vAlign w:val="center"/>
          </w:tcPr>
          <w:p w14:paraId="785EC900">
            <w:pPr>
              <w:spacing w:before="40" w:after="40" w:line="280" w:lineRule="exact"/>
            </w:pPr>
            <w:r>
              <w:rPr>
                <w:rFonts w:ascii="Arial Unicode MS" w:hAnsi="Arial Unicode MS" w:eastAsia="Arial Unicode MS"/>
                <w:b w:val="0"/>
                <w:color w:val="000000"/>
                <w:sz w:val="19"/>
              </w:rPr>
              <w:t>现场抽核、关键件事件日志及产品谱系</w:t>
            </w:r>
          </w:p>
        </w:tc>
        <w:tc>
          <w:tcPr>
            <w:tcW w:w="1440" w:type="dxa"/>
            <w:vAlign w:val="center"/>
          </w:tcPr>
          <w:p w14:paraId="56EB3C17">
            <w:pPr>
              <w:spacing w:before="40" w:after="40" w:line="280" w:lineRule="exact"/>
              <w:jc w:val="center"/>
            </w:pPr>
            <w:r>
              <w:rPr>
                <w:rFonts w:ascii="Arial Unicode MS" w:hAnsi="Arial Unicode MS" w:eastAsia="Arial Unicode MS"/>
                <w:b w:val="0"/>
                <w:color w:val="000000"/>
                <w:sz w:val="19"/>
              </w:rPr>
              <w:t>100%</w:t>
            </w:r>
          </w:p>
        </w:tc>
        <w:tc>
          <w:tcPr>
            <w:tcW w:w="2621" w:type="dxa"/>
            <w:vAlign w:val="center"/>
          </w:tcPr>
          <w:p w14:paraId="66B8DD64">
            <w:pPr>
              <w:spacing w:before="40" w:after="40" w:line="280" w:lineRule="exact"/>
            </w:pPr>
            <w:r>
              <w:rPr>
                <w:rFonts w:ascii="Arial Unicode MS" w:hAnsi="Arial Unicode MS" w:eastAsia="Arial Unicode MS"/>
                <w:b w:val="0"/>
                <w:color w:val="000000"/>
                <w:sz w:val="19"/>
              </w:rPr>
              <w:t>W全量SN，实物抽核至少30台；换件按实际及专项用例验证；含同车混型维修、分车及部分放行，逐SN不串用结果</w:t>
            </w:r>
          </w:p>
        </w:tc>
        <w:tc>
          <w:tcPr>
            <w:tcW w:w="1915" w:type="dxa"/>
            <w:vAlign w:val="center"/>
          </w:tcPr>
          <w:p w14:paraId="6124D716">
            <w:pPr>
              <w:spacing w:before="40" w:after="40" w:line="280" w:lineRule="exact"/>
            </w:pPr>
            <w:r>
              <w:rPr>
                <w:rFonts w:ascii="Arial Unicode MS" w:hAnsi="Arial Unicode MS" w:eastAsia="Arial Unicode MS"/>
                <w:b w:val="0"/>
                <w:color w:val="000000"/>
                <w:sz w:val="19"/>
              </w:rPr>
              <w:t>AR56 AR6</w:t>
            </w:r>
            <w:r>
              <w:br w:type="textWrapping"/>
            </w:r>
            <w:r>
              <w:rPr>
                <w:rFonts w:ascii="Arial Unicode MS" w:hAnsi="Arial Unicode MS" w:eastAsia="Arial Unicode MS"/>
                <w:b w:val="0"/>
                <w:color w:val="000000"/>
                <w:sz w:val="19"/>
              </w:rPr>
              <w:t>F37 F38</w:t>
            </w:r>
          </w:p>
        </w:tc>
      </w:tr>
      <w:tr w14:paraId="32F64EF8">
        <w:trPr>
          <w:cantSplit/>
          <w:jc w:val="center"/>
        </w:trPr>
        <w:tc>
          <w:tcPr>
            <w:tcW w:w="1656" w:type="dxa"/>
            <w:shd w:val="clear" w:color="auto" w:fill="F1F5F8"/>
            <w:vAlign w:val="center"/>
          </w:tcPr>
          <w:p w14:paraId="1E4093D2">
            <w:pPr>
              <w:spacing w:before="40" w:after="40" w:line="280" w:lineRule="exact"/>
            </w:pPr>
            <w:r>
              <w:rPr>
                <w:rFonts w:ascii="Arial Unicode MS" w:hAnsi="Arial Unicode MS" w:eastAsia="Arial Unicode MS"/>
                <w:b w:val="0"/>
                <w:color w:val="000000"/>
                <w:sz w:val="19"/>
              </w:rPr>
              <w:t>A06测试记录完整率</w:t>
            </w:r>
          </w:p>
        </w:tc>
        <w:tc>
          <w:tcPr>
            <w:tcW w:w="4435" w:type="dxa"/>
            <w:shd w:val="clear" w:color="auto" w:fill="F1F5F8"/>
            <w:vAlign w:val="center"/>
          </w:tcPr>
          <w:p w14:paraId="50647148">
            <w:pPr>
              <w:spacing w:before="40" w:after="40" w:line="280" w:lineRule="exact"/>
            </w:pPr>
            <w:r>
              <w:rPr>
                <w:rFonts w:ascii="Arial Unicode MS" w:hAnsi="Arial Unicode MS" w:eastAsia="Arial Unicode MS"/>
                <w:b w:val="0"/>
                <w:color w:val="000000"/>
                <w:sz w:val="19"/>
              </w:rPr>
              <w:t>具备规定测试结果、项目/单位、判定版本、实际软件版本及原始索引的事件数 ÷ 应归集测试事件数 ×100%；失败/复测分别计事件。</w:t>
            </w:r>
          </w:p>
        </w:tc>
        <w:tc>
          <w:tcPr>
            <w:tcW w:w="1757" w:type="dxa"/>
            <w:shd w:val="clear" w:color="auto" w:fill="F1F5F8"/>
            <w:vAlign w:val="center"/>
          </w:tcPr>
          <w:p w14:paraId="50A0B365">
            <w:pPr>
              <w:spacing w:before="40" w:after="40" w:line="280" w:lineRule="exact"/>
            </w:pPr>
            <w:r>
              <w:rPr>
                <w:rFonts w:ascii="Arial Unicode MS" w:hAnsi="Arial Unicode MS" w:eastAsia="Arial Unicode MS"/>
                <w:b w:val="0"/>
                <w:color w:val="000000"/>
                <w:sz w:val="19"/>
              </w:rPr>
              <w:t>测试端原始日志与MES采集索引对账</w:t>
            </w:r>
          </w:p>
        </w:tc>
        <w:tc>
          <w:tcPr>
            <w:tcW w:w="1440" w:type="dxa"/>
            <w:shd w:val="clear" w:color="auto" w:fill="F1F5F8"/>
            <w:vAlign w:val="center"/>
          </w:tcPr>
          <w:p w14:paraId="524EA1AC">
            <w:pPr>
              <w:spacing w:before="40" w:after="40" w:line="280" w:lineRule="exact"/>
              <w:jc w:val="center"/>
            </w:pPr>
            <w:r>
              <w:rPr>
                <w:rFonts w:ascii="Arial Unicode MS" w:hAnsi="Arial Unicode MS" w:eastAsia="Arial Unicode MS"/>
                <w:b w:val="0"/>
                <w:color w:val="000000"/>
                <w:sz w:val="19"/>
              </w:rPr>
              <w:t>100%</w:t>
            </w:r>
          </w:p>
        </w:tc>
        <w:tc>
          <w:tcPr>
            <w:tcW w:w="2621" w:type="dxa"/>
            <w:shd w:val="clear" w:color="auto" w:fill="F1F5F8"/>
            <w:vAlign w:val="center"/>
          </w:tcPr>
          <w:p w14:paraId="0271681C">
            <w:pPr>
              <w:spacing w:before="40" w:after="40" w:line="280" w:lineRule="exact"/>
            </w:pPr>
            <w:r>
              <w:rPr>
                <w:rFonts w:ascii="Arial Unicode MS" w:hAnsi="Arial Unicode MS" w:eastAsia="Arial Unicode MS"/>
                <w:b w:val="0"/>
                <w:color w:val="000000"/>
                <w:sz w:val="19"/>
              </w:rPr>
              <w:t>W全量测试；覆盖各深圳试点测试分支</w:t>
            </w:r>
          </w:p>
        </w:tc>
        <w:tc>
          <w:tcPr>
            <w:tcW w:w="1915" w:type="dxa"/>
            <w:shd w:val="clear" w:color="auto" w:fill="F1F5F8"/>
            <w:vAlign w:val="center"/>
          </w:tcPr>
          <w:p w14:paraId="1AB7B6D6">
            <w:pPr>
              <w:spacing w:before="40" w:after="40" w:line="280" w:lineRule="exact"/>
            </w:pPr>
            <w:r>
              <w:rPr>
                <w:rFonts w:ascii="Arial Unicode MS" w:hAnsi="Arial Unicode MS" w:eastAsia="Arial Unicode MS"/>
                <w:b w:val="0"/>
                <w:color w:val="000000"/>
                <w:sz w:val="19"/>
              </w:rPr>
              <w:t>AR2435 AR6 AR87</w:t>
            </w:r>
            <w:r>
              <w:br w:type="textWrapping"/>
            </w:r>
            <w:r>
              <w:rPr>
                <w:rFonts w:ascii="Arial Unicode MS" w:hAnsi="Arial Unicode MS" w:eastAsia="Arial Unicode MS"/>
                <w:b w:val="0"/>
                <w:color w:val="000000"/>
                <w:sz w:val="19"/>
              </w:rPr>
              <w:t>F36 F39 F46 F63 N10</w:t>
            </w:r>
          </w:p>
        </w:tc>
      </w:tr>
      <w:tr w14:paraId="098180CA">
        <w:trPr>
          <w:cantSplit/>
          <w:jc w:val="center"/>
        </w:trPr>
        <w:tc>
          <w:tcPr>
            <w:tcW w:w="1656" w:type="dxa"/>
            <w:vAlign w:val="center"/>
          </w:tcPr>
          <w:p w14:paraId="2CBD144E">
            <w:pPr>
              <w:spacing w:before="40" w:after="40" w:line="280" w:lineRule="exact"/>
            </w:pPr>
            <w:r>
              <w:rPr>
                <w:rFonts w:ascii="Arial Unicode MS" w:hAnsi="Arial Unicode MS" w:eastAsia="Arial Unicode MS"/>
                <w:b w:val="0"/>
                <w:color w:val="000000"/>
                <w:sz w:val="19"/>
              </w:rPr>
              <w:t>A07电子报告准确率</w:t>
            </w:r>
          </w:p>
        </w:tc>
        <w:tc>
          <w:tcPr>
            <w:tcW w:w="4435" w:type="dxa"/>
            <w:vAlign w:val="center"/>
          </w:tcPr>
          <w:p w14:paraId="28DBA23F">
            <w:pPr>
              <w:spacing w:before="40" w:after="40" w:line="280" w:lineRule="exact"/>
            </w:pPr>
            <w:r>
              <w:rPr>
                <w:rFonts w:ascii="Arial Unicode MS" w:hAnsi="Arial Unicode MS" w:eastAsia="Arial Unicode MS"/>
                <w:b w:val="0"/>
                <w:color w:val="000000"/>
                <w:sz w:val="19"/>
              </w:rPr>
              <w:t>规定字段与固有参数/测试原值一致且无必填缺项的报告数 ÷ 抽核报告数 ×100%。</w:t>
            </w:r>
          </w:p>
        </w:tc>
        <w:tc>
          <w:tcPr>
            <w:tcW w:w="1757" w:type="dxa"/>
            <w:vAlign w:val="center"/>
          </w:tcPr>
          <w:p w14:paraId="57BAEFE1">
            <w:pPr>
              <w:spacing w:before="40" w:after="40" w:line="280" w:lineRule="exact"/>
            </w:pPr>
            <w:r>
              <w:rPr>
                <w:rFonts w:ascii="Arial Unicode MS" w:hAnsi="Arial Unicode MS" w:eastAsia="Arial Unicode MS"/>
                <w:b w:val="0"/>
                <w:color w:val="000000"/>
                <w:sz w:val="19"/>
              </w:rPr>
              <w:t>报告模板、参数主数据、测试结果和批准规则</w:t>
            </w:r>
          </w:p>
        </w:tc>
        <w:tc>
          <w:tcPr>
            <w:tcW w:w="1440" w:type="dxa"/>
            <w:vAlign w:val="center"/>
          </w:tcPr>
          <w:p w14:paraId="1743231F">
            <w:pPr>
              <w:spacing w:before="40" w:after="40" w:line="280" w:lineRule="exact"/>
              <w:jc w:val="center"/>
            </w:pPr>
            <w:r>
              <w:rPr>
                <w:rFonts w:ascii="Arial Unicode MS" w:hAnsi="Arial Unicode MS" w:eastAsia="Arial Unicode MS"/>
                <w:b w:val="0"/>
                <w:color w:val="000000"/>
                <w:sz w:val="19"/>
              </w:rPr>
              <w:t>100%</w:t>
            </w:r>
          </w:p>
        </w:tc>
        <w:tc>
          <w:tcPr>
            <w:tcW w:w="2621" w:type="dxa"/>
            <w:vAlign w:val="center"/>
          </w:tcPr>
          <w:p w14:paraId="66EBBC11">
            <w:pPr>
              <w:spacing w:before="40" w:after="40" w:line="280" w:lineRule="exact"/>
            </w:pPr>
            <w:r>
              <w:rPr>
                <w:rFonts w:ascii="Arial Unicode MS" w:hAnsi="Arial Unicode MS" w:eastAsia="Arial Unicode MS"/>
                <w:b w:val="0"/>
                <w:color w:val="000000"/>
                <w:sz w:val="19"/>
              </w:rPr>
              <w:t>至少30台，覆盖中英文、不含电池和标签差异适用场景；核对三类内部记录及客户报告来源，重出留历史</w:t>
            </w:r>
          </w:p>
        </w:tc>
        <w:tc>
          <w:tcPr>
            <w:tcW w:w="1915" w:type="dxa"/>
            <w:vAlign w:val="center"/>
          </w:tcPr>
          <w:p w14:paraId="5403044D">
            <w:pPr>
              <w:spacing w:before="40" w:after="40" w:line="280" w:lineRule="exact"/>
            </w:pPr>
            <w:r>
              <w:rPr>
                <w:rFonts w:ascii="Arial Unicode MS" w:hAnsi="Arial Unicode MS" w:eastAsia="Arial Unicode MS"/>
                <w:b w:val="0"/>
                <w:color w:val="000000"/>
                <w:sz w:val="19"/>
              </w:rPr>
              <w:t>AR56 NPI职能 AR6</w:t>
            </w:r>
            <w:r>
              <w:br w:type="textWrapping"/>
            </w:r>
            <w:r>
              <w:rPr>
                <w:rFonts w:ascii="Arial Unicode MS" w:hAnsi="Arial Unicode MS" w:eastAsia="Arial Unicode MS"/>
                <w:b w:val="0"/>
                <w:color w:val="000000"/>
                <w:sz w:val="19"/>
              </w:rPr>
              <w:t>F10 F40</w:t>
            </w:r>
          </w:p>
        </w:tc>
      </w:tr>
      <w:tr w14:paraId="6D8F688A">
        <w:trPr>
          <w:cantSplit/>
          <w:jc w:val="center"/>
        </w:trPr>
        <w:tc>
          <w:tcPr>
            <w:tcW w:w="1656" w:type="dxa"/>
            <w:shd w:val="clear" w:color="auto" w:fill="F1F5F8"/>
            <w:vAlign w:val="center"/>
          </w:tcPr>
          <w:p w14:paraId="69888C4C">
            <w:pPr>
              <w:spacing w:before="40" w:after="40" w:line="280" w:lineRule="exact"/>
            </w:pPr>
            <w:r>
              <w:rPr>
                <w:rFonts w:ascii="Arial Unicode MS" w:hAnsi="Arial Unicode MS" w:eastAsia="Arial Unicode MS"/>
                <w:b w:val="0"/>
                <w:color w:val="000000"/>
                <w:sz w:val="19"/>
              </w:rPr>
              <w:t>A08关键异常受控率</w:t>
            </w:r>
          </w:p>
        </w:tc>
        <w:tc>
          <w:tcPr>
            <w:tcW w:w="4435" w:type="dxa"/>
            <w:shd w:val="clear" w:color="auto" w:fill="F1F5F8"/>
            <w:vAlign w:val="center"/>
          </w:tcPr>
          <w:p w14:paraId="1B88AB33">
            <w:pPr>
              <w:spacing w:before="40" w:after="40" w:line="280" w:lineRule="exact"/>
            </w:pPr>
            <w:r>
              <w:rPr>
                <w:rFonts w:ascii="Arial Unicode MS" w:hAnsi="Arial Unicode MS" w:eastAsia="Arial Unicode MS"/>
                <w:b w:val="0"/>
                <w:color w:val="000000"/>
                <w:sz w:val="19"/>
              </w:rPr>
              <w:t>按批准处置路径完成状态标记、通知、责任及时限控制的异常数 ÷ 需受控异常数 ×100%。未关闭项仍须在规定状态和时限内；已关闭项检查全部必需动作，报废/退料不强求复测放行。</w:t>
            </w:r>
          </w:p>
        </w:tc>
        <w:tc>
          <w:tcPr>
            <w:tcW w:w="1757" w:type="dxa"/>
            <w:shd w:val="clear" w:color="auto" w:fill="F1F5F8"/>
            <w:vAlign w:val="center"/>
          </w:tcPr>
          <w:p w14:paraId="1BBF9D9C">
            <w:pPr>
              <w:spacing w:before="40" w:after="40" w:line="280" w:lineRule="exact"/>
            </w:pPr>
            <w:r>
              <w:rPr>
                <w:rFonts w:ascii="Arial Unicode MS" w:hAnsi="Arial Unicode MS" w:eastAsia="Arial Unicode MS"/>
                <w:b w:val="0"/>
                <w:color w:val="000000"/>
                <w:sz w:val="19"/>
              </w:rPr>
              <w:t>测试/异常记录、状态日志、通知及授权审计</w:t>
            </w:r>
          </w:p>
        </w:tc>
        <w:tc>
          <w:tcPr>
            <w:tcW w:w="1440" w:type="dxa"/>
            <w:shd w:val="clear" w:color="auto" w:fill="F1F5F8"/>
            <w:vAlign w:val="center"/>
          </w:tcPr>
          <w:p w14:paraId="581FEDF7">
            <w:pPr>
              <w:spacing w:before="40" w:after="40" w:line="280" w:lineRule="exact"/>
              <w:jc w:val="center"/>
            </w:pPr>
            <w:r>
              <w:rPr>
                <w:rFonts w:ascii="Arial Unicode MS" w:hAnsi="Arial Unicode MS" w:eastAsia="Arial Unicode MS"/>
                <w:b w:val="0"/>
                <w:color w:val="000000"/>
                <w:sz w:val="19"/>
              </w:rPr>
              <w:t>100%；通知≤60秒</w:t>
            </w:r>
          </w:p>
        </w:tc>
        <w:tc>
          <w:tcPr>
            <w:tcW w:w="2621" w:type="dxa"/>
            <w:shd w:val="clear" w:color="auto" w:fill="F1F5F8"/>
            <w:vAlign w:val="center"/>
          </w:tcPr>
          <w:p w14:paraId="53B43ACA">
            <w:pPr>
              <w:spacing w:before="40" w:after="40" w:line="280" w:lineRule="exact"/>
            </w:pPr>
            <w:r>
              <w:rPr>
                <w:rFonts w:ascii="Arial Unicode MS" w:hAnsi="Arial Unicode MS" w:eastAsia="Arial Unicode MS"/>
                <w:b w:val="0"/>
                <w:color w:val="000000"/>
                <w:sz w:val="19"/>
              </w:rPr>
              <w:t>W全部关键异常；无发生项使用专项业务用例验证</w:t>
            </w:r>
          </w:p>
        </w:tc>
        <w:tc>
          <w:tcPr>
            <w:tcW w:w="1915" w:type="dxa"/>
            <w:shd w:val="clear" w:color="auto" w:fill="F1F5F8"/>
            <w:vAlign w:val="center"/>
          </w:tcPr>
          <w:p w14:paraId="0BCF0B27">
            <w:pPr>
              <w:spacing w:before="40" w:after="40" w:line="280" w:lineRule="exact"/>
            </w:pPr>
            <w:r>
              <w:rPr>
                <w:rFonts w:ascii="Arial Unicode MS" w:hAnsi="Arial Unicode MS" w:eastAsia="Arial Unicode MS"/>
                <w:b w:val="0"/>
                <w:color w:val="000000"/>
                <w:sz w:val="19"/>
              </w:rPr>
              <w:t>AR562 AR6 AR87</w:t>
            </w:r>
            <w:r>
              <w:br w:type="textWrapping"/>
            </w:r>
            <w:r>
              <w:rPr>
                <w:rFonts w:ascii="Arial Unicode MS" w:hAnsi="Arial Unicode MS" w:eastAsia="Arial Unicode MS"/>
                <w:b w:val="0"/>
                <w:color w:val="000000"/>
                <w:sz w:val="19"/>
              </w:rPr>
              <w:t>F24 F38 F41 F65</w:t>
            </w:r>
          </w:p>
        </w:tc>
      </w:tr>
      <w:tr w14:paraId="7E17C67E">
        <w:trPr>
          <w:cantSplit/>
          <w:jc w:val="center"/>
        </w:trPr>
        <w:tc>
          <w:tcPr>
            <w:tcW w:w="1656" w:type="dxa"/>
            <w:vAlign w:val="center"/>
          </w:tcPr>
          <w:p w14:paraId="3B1AF4A3">
            <w:pPr>
              <w:spacing w:before="40" w:after="40" w:line="280" w:lineRule="exact"/>
            </w:pPr>
            <w:r>
              <w:rPr>
                <w:rFonts w:ascii="Arial Unicode MS" w:hAnsi="Arial Unicode MS" w:eastAsia="Arial Unicode MS"/>
                <w:b w:val="0"/>
                <w:color w:val="000000"/>
                <w:sz w:val="19"/>
              </w:rPr>
              <w:t>A09交接记录完整率</w:t>
            </w:r>
          </w:p>
        </w:tc>
        <w:tc>
          <w:tcPr>
            <w:tcW w:w="4435" w:type="dxa"/>
            <w:vAlign w:val="center"/>
          </w:tcPr>
          <w:p w14:paraId="3B2A3573">
            <w:pPr>
              <w:spacing w:before="40" w:after="40" w:line="280" w:lineRule="exact"/>
            </w:pPr>
            <w:r>
              <w:rPr>
                <w:rFonts w:ascii="Arial Unicode MS" w:hAnsi="Arial Unicode MS" w:eastAsia="Arial Unicode MS"/>
                <w:b w:val="0"/>
                <w:color w:val="000000"/>
                <w:sz w:val="19"/>
              </w:rPr>
              <w:t>具备应记包装完成、实物收库、出库过账与交运事件的交接对象数 ÷ 应记录对象数 ×100%；事件可不同时间，不以先过账替代完成。</w:t>
            </w:r>
          </w:p>
        </w:tc>
        <w:tc>
          <w:tcPr>
            <w:tcW w:w="1757" w:type="dxa"/>
            <w:vAlign w:val="center"/>
          </w:tcPr>
          <w:p w14:paraId="5E33CECA">
            <w:pPr>
              <w:spacing w:before="40" w:after="40" w:line="280" w:lineRule="exact"/>
            </w:pPr>
            <w:r>
              <w:rPr>
                <w:rFonts w:ascii="Arial Unicode MS" w:hAnsi="Arial Unicode MS" w:eastAsia="Arial Unicode MS"/>
                <w:b w:val="0"/>
                <w:color w:val="000000"/>
                <w:sz w:val="19"/>
              </w:rPr>
              <w:t>ERP单据、包装/收库/发运记录及现场抽核</w:t>
            </w:r>
          </w:p>
        </w:tc>
        <w:tc>
          <w:tcPr>
            <w:tcW w:w="1440" w:type="dxa"/>
            <w:vAlign w:val="center"/>
          </w:tcPr>
          <w:p w14:paraId="1A760C15">
            <w:pPr>
              <w:spacing w:before="40" w:after="40" w:line="280" w:lineRule="exact"/>
              <w:jc w:val="center"/>
            </w:pPr>
            <w:r>
              <w:rPr>
                <w:rFonts w:ascii="Arial Unicode MS" w:hAnsi="Arial Unicode MS" w:eastAsia="Arial Unicode MS"/>
                <w:b w:val="0"/>
                <w:color w:val="000000"/>
                <w:sz w:val="19"/>
              </w:rPr>
              <w:t>100%</w:t>
            </w:r>
          </w:p>
        </w:tc>
        <w:tc>
          <w:tcPr>
            <w:tcW w:w="2621" w:type="dxa"/>
            <w:vAlign w:val="center"/>
          </w:tcPr>
          <w:p w14:paraId="3BE4DD0B">
            <w:pPr>
              <w:spacing w:before="40" w:after="40" w:line="280" w:lineRule="exact"/>
            </w:pPr>
            <w:r>
              <w:rPr>
                <w:rFonts w:ascii="Arial Unicode MS" w:hAnsi="Arial Unicode MS" w:eastAsia="Arial Unicode MS"/>
                <w:b w:val="0"/>
                <w:color w:val="000000"/>
                <w:sz w:val="19"/>
              </w:rPr>
              <w:t>W全量深圳试点交接，含不少于10个错时/定制样本或专项用例</w:t>
            </w:r>
          </w:p>
        </w:tc>
        <w:tc>
          <w:tcPr>
            <w:tcW w:w="1915" w:type="dxa"/>
            <w:vAlign w:val="center"/>
          </w:tcPr>
          <w:p w14:paraId="69A4D8DA">
            <w:pPr>
              <w:spacing w:before="40" w:after="40" w:line="280" w:lineRule="exact"/>
            </w:pPr>
            <w:r>
              <w:rPr>
                <w:rFonts w:ascii="Arial Unicode MS" w:hAnsi="Arial Unicode MS" w:eastAsia="Arial Unicode MS"/>
                <w:b w:val="0"/>
                <w:color w:val="000000"/>
                <w:sz w:val="19"/>
              </w:rPr>
              <w:t>AR53 AR56 AR6 AR4</w:t>
            </w:r>
            <w:r>
              <w:br w:type="textWrapping"/>
            </w:r>
            <w:r>
              <w:rPr>
                <w:rFonts w:ascii="Arial Unicode MS" w:hAnsi="Arial Unicode MS" w:eastAsia="Arial Unicode MS"/>
                <w:b w:val="0"/>
                <w:color w:val="000000"/>
                <w:sz w:val="19"/>
              </w:rPr>
              <w:t>F29 F30 F34</w:t>
            </w:r>
          </w:p>
        </w:tc>
      </w:tr>
      <w:tr w14:paraId="4C82A725">
        <w:trPr>
          <w:cantSplit/>
          <w:jc w:val="center"/>
        </w:trPr>
        <w:tc>
          <w:tcPr>
            <w:tcW w:w="1656" w:type="dxa"/>
            <w:shd w:val="clear" w:color="auto" w:fill="F1F5F8"/>
            <w:vAlign w:val="center"/>
          </w:tcPr>
          <w:p w14:paraId="0D12B02C">
            <w:pPr>
              <w:spacing w:before="40" w:after="40" w:line="280" w:lineRule="exact"/>
            </w:pPr>
            <w:r>
              <w:rPr>
                <w:rFonts w:ascii="Arial Unicode MS" w:hAnsi="Arial Unicode MS" w:eastAsia="Arial Unicode MS"/>
                <w:b w:val="0"/>
                <w:color w:val="000000"/>
                <w:sz w:val="19"/>
              </w:rPr>
              <w:t>A10追溯查询时效</w:t>
            </w:r>
          </w:p>
        </w:tc>
        <w:tc>
          <w:tcPr>
            <w:tcW w:w="4435" w:type="dxa"/>
            <w:shd w:val="clear" w:color="auto" w:fill="F1F5F8"/>
            <w:vAlign w:val="center"/>
          </w:tcPr>
          <w:p w14:paraId="77F618C3">
            <w:pPr>
              <w:spacing w:before="40" w:after="40" w:line="280" w:lineRule="exact"/>
            </w:pPr>
            <w:r>
              <w:rPr>
                <w:rFonts w:ascii="Arial Unicode MS" w:hAnsi="Arial Unicode MS" w:eastAsia="Arial Unicode MS"/>
                <w:b w:val="0"/>
                <w:color w:val="000000"/>
                <w:sz w:val="19"/>
              </w:rPr>
              <w:t>输入SN、关键件或来源批次至完整结果返回的时间；范围按批准清单包括检验明细、实际用料、历次测试/版本、维修及原始索引。按来源反查受影响对象；原始大文件下载另计。</w:t>
            </w:r>
          </w:p>
        </w:tc>
        <w:tc>
          <w:tcPr>
            <w:tcW w:w="1757" w:type="dxa"/>
            <w:shd w:val="clear" w:color="auto" w:fill="F1F5F8"/>
            <w:vAlign w:val="center"/>
          </w:tcPr>
          <w:p w14:paraId="5034683E">
            <w:pPr>
              <w:spacing w:before="40" w:after="40" w:line="280" w:lineRule="exact"/>
            </w:pPr>
            <w:r>
              <w:rPr>
                <w:rFonts w:ascii="Arial Unicode MS" w:hAnsi="Arial Unicode MS" w:eastAsia="Arial Unicode MS"/>
                <w:b w:val="0"/>
                <w:color w:val="000000"/>
                <w:sz w:val="19"/>
              </w:rPr>
              <w:t>查询审计日志、预先冻结的正确结果清单</w:t>
            </w:r>
          </w:p>
        </w:tc>
        <w:tc>
          <w:tcPr>
            <w:tcW w:w="1440" w:type="dxa"/>
            <w:shd w:val="clear" w:color="auto" w:fill="F1F5F8"/>
            <w:vAlign w:val="center"/>
          </w:tcPr>
          <w:p w14:paraId="391DA45B">
            <w:pPr>
              <w:spacing w:before="40" w:after="40" w:line="280" w:lineRule="exact"/>
              <w:jc w:val="center"/>
            </w:pPr>
            <w:r>
              <w:rPr>
                <w:rFonts w:ascii="Arial Unicode MS" w:hAnsi="Arial Unicode MS" w:eastAsia="Arial Unicode MS"/>
                <w:b w:val="0"/>
                <w:color w:val="000000"/>
                <w:sz w:val="19"/>
              </w:rPr>
              <w:t>单件≤3分钟；100个SN批量≤5分钟，完整性100%</w:t>
            </w:r>
          </w:p>
        </w:tc>
        <w:tc>
          <w:tcPr>
            <w:tcW w:w="2621" w:type="dxa"/>
            <w:shd w:val="clear" w:color="auto" w:fill="F1F5F8"/>
            <w:vAlign w:val="center"/>
          </w:tcPr>
          <w:p w14:paraId="5A6D25E5">
            <w:pPr>
              <w:spacing w:before="40" w:after="40" w:line="280" w:lineRule="exact"/>
            </w:pPr>
            <w:r>
              <w:rPr>
                <w:rFonts w:ascii="Arial Unicode MS" w:hAnsi="Arial Unicode MS" w:eastAsia="Arial Unicode MS"/>
                <w:b w:val="0"/>
                <w:color w:val="000000"/>
                <w:sz w:val="19"/>
              </w:rPr>
              <w:t>至少20个单件及5个批量用例；建议每批100个SN，批准峰值负载下验证，覆盖换件 复测及历史对象。</w:t>
            </w:r>
          </w:p>
        </w:tc>
        <w:tc>
          <w:tcPr>
            <w:tcW w:w="1915" w:type="dxa"/>
            <w:shd w:val="clear" w:color="auto" w:fill="F1F5F8"/>
            <w:vAlign w:val="center"/>
          </w:tcPr>
          <w:p w14:paraId="110D58E1">
            <w:pPr>
              <w:spacing w:before="40" w:after="40" w:line="280" w:lineRule="exact"/>
            </w:pPr>
            <w:r>
              <w:rPr>
                <w:rFonts w:ascii="Arial Unicode MS" w:hAnsi="Arial Unicode MS" w:eastAsia="Arial Unicode MS"/>
                <w:b w:val="0"/>
                <w:color w:val="000000"/>
                <w:sz w:val="19"/>
              </w:rPr>
              <w:t>AR6 AR2 AR87</w:t>
            </w:r>
            <w:r>
              <w:br w:type="textWrapping"/>
            </w:r>
            <w:r>
              <w:rPr>
                <w:rFonts w:ascii="Arial Unicode MS" w:hAnsi="Arial Unicode MS" w:eastAsia="Arial Unicode MS"/>
                <w:b w:val="0"/>
                <w:color w:val="000000"/>
                <w:sz w:val="19"/>
              </w:rPr>
              <w:t>F37 F64 N13 N04</w:t>
            </w:r>
          </w:p>
        </w:tc>
      </w:tr>
      <w:tr w14:paraId="24354AE7">
        <w:trPr>
          <w:cantSplit/>
          <w:jc w:val="center"/>
        </w:trPr>
        <w:tc>
          <w:tcPr>
            <w:tcW w:w="1656" w:type="dxa"/>
            <w:vAlign w:val="center"/>
          </w:tcPr>
          <w:p w14:paraId="7F92E327">
            <w:pPr>
              <w:spacing w:before="40" w:after="40" w:line="280" w:lineRule="exact"/>
            </w:pPr>
            <w:r>
              <w:rPr>
                <w:rFonts w:ascii="Arial Unicode MS" w:hAnsi="Arial Unicode MS" w:eastAsia="Arial Unicode MS"/>
                <w:b w:val="0"/>
                <w:color w:val="000000"/>
                <w:sz w:val="19"/>
              </w:rPr>
              <w:t>A11关键操作响应时间</w:t>
            </w:r>
          </w:p>
        </w:tc>
        <w:tc>
          <w:tcPr>
            <w:tcW w:w="4435" w:type="dxa"/>
            <w:vAlign w:val="center"/>
          </w:tcPr>
          <w:p w14:paraId="401FF59B">
            <w:pPr>
              <w:spacing w:before="40" w:after="40" w:line="280" w:lineRule="exact"/>
            </w:pPr>
            <w:r>
              <w:rPr>
                <w:rFonts w:ascii="Arial Unicode MS" w:hAnsi="Arial Unicode MS" w:eastAsia="Arial Unicode MS"/>
                <w:b w:val="0"/>
                <w:color w:val="000000"/>
                <w:sz w:val="19"/>
              </w:rPr>
              <w:t>批准负载下常用扫码、报工、异常提交的端到端响应P95；按独立操作事件统计，不以平均值替代。</w:t>
            </w:r>
          </w:p>
        </w:tc>
        <w:tc>
          <w:tcPr>
            <w:tcW w:w="1757" w:type="dxa"/>
            <w:vAlign w:val="center"/>
          </w:tcPr>
          <w:p w14:paraId="1E9CA18D">
            <w:pPr>
              <w:spacing w:before="40" w:after="40" w:line="280" w:lineRule="exact"/>
            </w:pPr>
            <w:r>
              <w:rPr>
                <w:rFonts w:ascii="Arial Unicode MS" w:hAnsi="Arial Unicode MS" w:eastAsia="Arial Unicode MS"/>
                <w:b w:val="0"/>
                <w:color w:val="000000"/>
                <w:sz w:val="19"/>
              </w:rPr>
              <w:t>终端计时、应用/APM及接口日志</w:t>
            </w:r>
          </w:p>
        </w:tc>
        <w:tc>
          <w:tcPr>
            <w:tcW w:w="1440" w:type="dxa"/>
            <w:vAlign w:val="center"/>
          </w:tcPr>
          <w:p w14:paraId="5383ED49">
            <w:pPr>
              <w:spacing w:before="40" w:after="40" w:line="280" w:lineRule="exact"/>
              <w:jc w:val="center"/>
            </w:pPr>
            <w:r>
              <w:rPr>
                <w:rFonts w:ascii="Arial Unicode MS" w:hAnsi="Arial Unicode MS" w:eastAsia="Arial Unicode MS"/>
                <w:b w:val="0"/>
                <w:color w:val="000000"/>
                <w:sz w:val="19"/>
              </w:rPr>
              <w:t>P95≤2秒</w:t>
            </w:r>
          </w:p>
        </w:tc>
        <w:tc>
          <w:tcPr>
            <w:tcW w:w="2621" w:type="dxa"/>
            <w:vAlign w:val="center"/>
          </w:tcPr>
          <w:p w14:paraId="0F91D5A9">
            <w:pPr>
              <w:spacing w:before="40" w:after="40" w:line="280" w:lineRule="exact"/>
            </w:pPr>
            <w:r>
              <w:rPr>
                <w:rFonts w:ascii="Arial Unicode MS" w:hAnsi="Arial Unicode MS" w:eastAsia="Arial Unicode MS"/>
                <w:b w:val="0"/>
                <w:color w:val="000000"/>
                <w:sz w:val="19"/>
              </w:rPr>
              <w:t>每动作不少于200次，覆盖深圳试点终端和峰值并发；按批准并发负载验证</w:t>
            </w:r>
          </w:p>
        </w:tc>
        <w:tc>
          <w:tcPr>
            <w:tcW w:w="1915" w:type="dxa"/>
            <w:vAlign w:val="center"/>
          </w:tcPr>
          <w:p w14:paraId="5BD5B2A4">
            <w:pPr>
              <w:spacing w:before="40" w:after="40" w:line="280" w:lineRule="exact"/>
            </w:pPr>
            <w:r>
              <w:rPr>
                <w:rFonts w:ascii="Arial Unicode MS" w:hAnsi="Arial Unicode MS" w:eastAsia="Arial Unicode MS"/>
                <w:b w:val="0"/>
                <w:color w:val="000000"/>
                <w:sz w:val="19"/>
              </w:rPr>
              <w:t>AR84 AR87 AR56</w:t>
            </w:r>
            <w:r>
              <w:br w:type="textWrapping"/>
            </w:r>
            <w:r>
              <w:rPr>
                <w:rFonts w:ascii="Arial Unicode MS" w:hAnsi="Arial Unicode MS" w:eastAsia="Arial Unicode MS"/>
                <w:b w:val="0"/>
                <w:color w:val="000000"/>
                <w:sz w:val="19"/>
              </w:rPr>
              <w:t>N04 N07</w:t>
            </w:r>
          </w:p>
        </w:tc>
      </w:tr>
      <w:tr w14:paraId="176E4059">
        <w:trPr>
          <w:cantSplit/>
          <w:jc w:val="center"/>
        </w:trPr>
        <w:tc>
          <w:tcPr>
            <w:tcW w:w="1656" w:type="dxa"/>
            <w:shd w:val="clear" w:color="auto" w:fill="F1F5F8"/>
            <w:vAlign w:val="center"/>
          </w:tcPr>
          <w:p w14:paraId="006A44AF">
            <w:pPr>
              <w:spacing w:before="40" w:after="40" w:line="280" w:lineRule="exact"/>
            </w:pPr>
            <w:r>
              <w:rPr>
                <w:rFonts w:ascii="Arial Unicode MS" w:hAnsi="Arial Unicode MS" w:eastAsia="Arial Unicode MS"/>
                <w:b w:val="0"/>
                <w:color w:val="000000"/>
                <w:sz w:val="19"/>
              </w:rPr>
              <w:t>A12迁移与恢复正确性</w:t>
            </w:r>
          </w:p>
        </w:tc>
        <w:tc>
          <w:tcPr>
            <w:tcW w:w="4435" w:type="dxa"/>
            <w:shd w:val="clear" w:color="auto" w:fill="F1F5F8"/>
            <w:vAlign w:val="center"/>
          </w:tcPr>
          <w:p w14:paraId="51A4F9AA">
            <w:pPr>
              <w:spacing w:before="40" w:after="40" w:line="280" w:lineRule="exact"/>
            </w:pPr>
            <w:r>
              <w:rPr>
                <w:rFonts w:ascii="Arial Unicode MS" w:hAnsi="Arial Unicode MS" w:eastAsia="Arial Unicode MS"/>
                <w:b w:val="0"/>
                <w:color w:val="000000"/>
                <w:sz w:val="19"/>
              </w:rPr>
              <w:t>迁移主键 数量 状态及附件关联正确数 ÷ 应迁移对象数 ×100%；仅归档对象另抽核访问。RTO从故障宣布至业务复核恢复，RPO以可恢复的最后业务事件计算；回退另按切换情景验证。</w:t>
            </w:r>
          </w:p>
        </w:tc>
        <w:tc>
          <w:tcPr>
            <w:tcW w:w="1757" w:type="dxa"/>
            <w:shd w:val="clear" w:color="auto" w:fill="F1F5F8"/>
            <w:vAlign w:val="center"/>
          </w:tcPr>
          <w:p w14:paraId="316003D8">
            <w:pPr>
              <w:spacing w:before="40" w:after="40" w:line="280" w:lineRule="exact"/>
            </w:pPr>
            <w:r>
              <w:rPr>
                <w:rFonts w:ascii="Arial Unicode MS" w:hAnsi="Arial Unicode MS" w:eastAsia="Arial Unicode MS"/>
                <w:b w:val="0"/>
                <w:color w:val="000000"/>
                <w:sz w:val="19"/>
              </w:rPr>
              <w:t>旧新快照、迁移校验、备份/恢复及业务复核记录</w:t>
            </w:r>
          </w:p>
        </w:tc>
        <w:tc>
          <w:tcPr>
            <w:tcW w:w="1440" w:type="dxa"/>
            <w:shd w:val="clear" w:color="auto" w:fill="F1F5F8"/>
            <w:vAlign w:val="center"/>
          </w:tcPr>
          <w:p w14:paraId="384785E7">
            <w:pPr>
              <w:spacing w:before="40" w:after="40" w:line="280" w:lineRule="exact"/>
              <w:jc w:val="center"/>
            </w:pPr>
            <w:r>
              <w:rPr>
                <w:rFonts w:ascii="Arial Unicode MS" w:hAnsi="Arial Unicode MS" w:eastAsia="Arial Unicode MS"/>
                <w:b w:val="0"/>
                <w:color w:val="000000"/>
                <w:sz w:val="19"/>
              </w:rPr>
              <w:t>对账100%；建议RTO≤4小时、RPO≤15分钟</w:t>
            </w:r>
          </w:p>
        </w:tc>
        <w:tc>
          <w:tcPr>
            <w:tcW w:w="2621" w:type="dxa"/>
            <w:shd w:val="clear" w:color="auto" w:fill="F1F5F8"/>
            <w:vAlign w:val="center"/>
          </w:tcPr>
          <w:p w14:paraId="3F3A3218">
            <w:pPr>
              <w:spacing w:before="40" w:after="40" w:line="280" w:lineRule="exact"/>
            </w:pPr>
            <w:r>
              <w:rPr>
                <w:rFonts w:ascii="Arial Unicode MS" w:hAnsi="Arial Unicode MS" w:eastAsia="Arial Unicode MS"/>
                <w:b w:val="0"/>
                <w:color w:val="000000"/>
                <w:sz w:val="19"/>
              </w:rPr>
              <w:t>切换前全量迁移对账及2次独立恢复/回退演练</w:t>
            </w:r>
          </w:p>
        </w:tc>
        <w:tc>
          <w:tcPr>
            <w:tcW w:w="1915" w:type="dxa"/>
            <w:shd w:val="clear" w:color="auto" w:fill="F1F5F8"/>
            <w:vAlign w:val="center"/>
          </w:tcPr>
          <w:p w14:paraId="2BFE8BCD">
            <w:pPr>
              <w:spacing w:before="40" w:after="40" w:line="280" w:lineRule="exact"/>
            </w:pPr>
            <w:r>
              <w:rPr>
                <w:rFonts w:ascii="Arial Unicode MS" w:hAnsi="Arial Unicode MS" w:eastAsia="Arial Unicode MS"/>
                <w:b w:val="0"/>
                <w:color w:val="000000"/>
                <w:sz w:val="19"/>
              </w:rPr>
              <w:t>AR84 AR87 AR56 AR6</w:t>
            </w:r>
            <w:r>
              <w:br w:type="textWrapping"/>
            </w:r>
            <w:r>
              <w:rPr>
                <w:rFonts w:ascii="Arial Unicode MS" w:hAnsi="Arial Unicode MS" w:eastAsia="Arial Unicode MS"/>
                <w:b w:val="0"/>
                <w:color w:val="000000"/>
                <w:sz w:val="19"/>
              </w:rPr>
              <w:t>N13 N06 N14</w:t>
            </w:r>
          </w:p>
        </w:tc>
      </w:tr>
      <w:tr w14:paraId="23E5248E">
        <w:trPr>
          <w:cantSplit/>
          <w:jc w:val="center"/>
        </w:trPr>
        <w:tc>
          <w:tcPr>
            <w:tcW w:w="1656" w:type="dxa"/>
            <w:vAlign w:val="center"/>
          </w:tcPr>
          <w:p w14:paraId="340CEB66">
            <w:pPr>
              <w:spacing w:before="40" w:after="40" w:line="280" w:lineRule="exact"/>
            </w:pPr>
            <w:r>
              <w:rPr>
                <w:rFonts w:ascii="Arial Unicode MS" w:hAnsi="Arial Unicode MS" w:eastAsia="Arial Unicode MS"/>
                <w:b w:val="0"/>
                <w:color w:val="000000"/>
                <w:sz w:val="19"/>
              </w:rPr>
              <w:t>A13原始检验记录完整与可检索率</w:t>
            </w:r>
          </w:p>
        </w:tc>
        <w:tc>
          <w:tcPr>
            <w:tcW w:w="4435" w:type="dxa"/>
            <w:vAlign w:val="center"/>
          </w:tcPr>
          <w:p w14:paraId="1E68D039">
            <w:pPr>
              <w:spacing w:before="40" w:after="40" w:line="280" w:lineRule="exact"/>
            </w:pPr>
            <w:r>
              <w:rPr>
                <w:rFonts w:ascii="Arial Unicode MS" w:hAnsi="Arial Unicode MS" w:eastAsia="Arial Unicode MS"/>
                <w:b w:val="0"/>
                <w:color w:val="000000"/>
                <w:sz w:val="19"/>
              </w:rPr>
              <w:t>具备对象/原单据映射、依据、样本实测值或目视/属性结果、判定、人员和原始时间，且可按对象检索的记录数 ÷ 应电子记录数 ×100%；更正留历史，关键量具按范围关联。</w:t>
            </w:r>
          </w:p>
        </w:tc>
        <w:tc>
          <w:tcPr>
            <w:tcW w:w="1757" w:type="dxa"/>
            <w:vAlign w:val="center"/>
          </w:tcPr>
          <w:p w14:paraId="69C5FE86">
            <w:pPr>
              <w:spacing w:before="40" w:after="40" w:line="280" w:lineRule="exact"/>
            </w:pPr>
            <w:r>
              <w:rPr>
                <w:rFonts w:ascii="Arial Unicode MS" w:hAnsi="Arial Unicode MS" w:eastAsia="Arial Unicode MS"/>
                <w:b w:val="0"/>
                <w:color w:val="000000"/>
                <w:sz w:val="19"/>
              </w:rPr>
              <w:t>电子检验明细、ERP检验单、原始样本及审计日志</w:t>
            </w:r>
          </w:p>
        </w:tc>
        <w:tc>
          <w:tcPr>
            <w:tcW w:w="1440" w:type="dxa"/>
            <w:vAlign w:val="center"/>
          </w:tcPr>
          <w:p w14:paraId="52B3DE25">
            <w:pPr>
              <w:spacing w:before="40" w:after="40" w:line="280" w:lineRule="exact"/>
              <w:jc w:val="center"/>
            </w:pPr>
            <w:r>
              <w:rPr>
                <w:rFonts w:ascii="Arial Unicode MS" w:hAnsi="Arial Unicode MS" w:eastAsia="Arial Unicode MS"/>
                <w:b w:val="0"/>
                <w:color w:val="000000"/>
                <w:sz w:val="19"/>
              </w:rPr>
              <w:t>100%；抽核原值一致100%</w:t>
            </w:r>
          </w:p>
        </w:tc>
        <w:tc>
          <w:tcPr>
            <w:tcW w:w="2621" w:type="dxa"/>
            <w:vAlign w:val="center"/>
          </w:tcPr>
          <w:p w14:paraId="0ACA43F5">
            <w:pPr>
              <w:spacing w:before="40" w:after="40" w:line="280" w:lineRule="exact"/>
            </w:pPr>
            <w:r>
              <w:rPr>
                <w:rFonts w:ascii="Arial Unicode MS" w:hAnsi="Arial Unicode MS" w:eastAsia="Arial Unicode MS"/>
                <w:b w:val="0"/>
                <w:color w:val="000000"/>
                <w:sz w:val="19"/>
              </w:rPr>
              <w:t>W全量试点记录；至少30份完整记录；合检、分批、并行、补检及更正使用实际或专项用例；跨日日报可追至同一原始批次，工作量不重复扩大质量分母</w:t>
            </w:r>
          </w:p>
        </w:tc>
        <w:tc>
          <w:tcPr>
            <w:tcW w:w="1915" w:type="dxa"/>
            <w:vAlign w:val="center"/>
          </w:tcPr>
          <w:p w14:paraId="73F72B00">
            <w:pPr>
              <w:spacing w:before="40" w:after="40" w:line="280" w:lineRule="exact"/>
            </w:pPr>
            <w:r>
              <w:rPr>
                <w:rFonts w:ascii="Arial Unicode MS" w:hAnsi="Arial Unicode MS" w:eastAsia="Arial Unicode MS"/>
                <w:b w:val="0"/>
                <w:color w:val="000000"/>
                <w:sz w:val="19"/>
              </w:rPr>
              <w:t>AR6 AR622 AR641 AR87</w:t>
            </w:r>
            <w:r>
              <w:br w:type="textWrapping"/>
            </w:r>
            <w:r>
              <w:rPr>
                <w:rFonts w:ascii="Arial Unicode MS" w:hAnsi="Arial Unicode MS" w:eastAsia="Arial Unicode MS"/>
                <w:b w:val="0"/>
                <w:color w:val="000000"/>
                <w:sz w:val="19"/>
              </w:rPr>
              <w:t>F39 F43 F64 N03</w:t>
            </w:r>
          </w:p>
        </w:tc>
      </w:tr>
      <w:tr w14:paraId="5E9FF2A7">
        <w:trPr>
          <w:cantSplit/>
          <w:jc w:val="center"/>
        </w:trPr>
        <w:tc>
          <w:tcPr>
            <w:tcW w:w="1656" w:type="dxa"/>
            <w:shd w:val="clear" w:color="auto" w:fill="F1F5F8"/>
            <w:vAlign w:val="center"/>
          </w:tcPr>
          <w:p w14:paraId="2559C78A">
            <w:pPr>
              <w:spacing w:before="40" w:after="40" w:line="280" w:lineRule="exact"/>
            </w:pPr>
            <w:r>
              <w:rPr>
                <w:rFonts w:ascii="Arial Unicode MS" w:hAnsi="Arial Unicode MS" w:eastAsia="Arial Unicode MS"/>
                <w:b w:val="0"/>
                <w:color w:val="000000"/>
                <w:sz w:val="19"/>
              </w:rPr>
              <w:t>A14冻结与解除执行一致率</w:t>
            </w:r>
          </w:p>
        </w:tc>
        <w:tc>
          <w:tcPr>
            <w:tcW w:w="4435" w:type="dxa"/>
            <w:shd w:val="clear" w:color="auto" w:fill="F1F5F8"/>
            <w:vAlign w:val="center"/>
          </w:tcPr>
          <w:p w14:paraId="43EC5ED3">
            <w:pPr>
              <w:spacing w:before="40" w:after="40" w:line="280" w:lineRule="exact"/>
            </w:pPr>
            <w:r>
              <w:rPr>
                <w:rFonts w:ascii="Arial Unicode MS" w:hAnsi="Arial Unicode MS" w:eastAsia="Arial Unicode MS"/>
                <w:b w:val="0"/>
                <w:color w:val="000000"/>
                <w:sz w:val="19"/>
              </w:rPr>
              <w:t>对象、数量、限制状态与批准指令一致，有执行回执，且适用领用/投入/交接节点验证通过的事件数 ÷ 应执行事件数 ×100%；未生效不能计完成。</w:t>
            </w:r>
          </w:p>
        </w:tc>
        <w:tc>
          <w:tcPr>
            <w:tcW w:w="1757" w:type="dxa"/>
            <w:shd w:val="clear" w:color="auto" w:fill="F1F5F8"/>
            <w:vAlign w:val="center"/>
          </w:tcPr>
          <w:p w14:paraId="0BA430B3">
            <w:pPr>
              <w:spacing w:before="40" w:after="40" w:line="280" w:lineRule="exact"/>
            </w:pPr>
            <w:r>
              <w:rPr>
                <w:rFonts w:ascii="Arial Unicode MS" w:hAnsi="Arial Unicode MS" w:eastAsia="Arial Unicode MS"/>
                <w:b w:val="0"/>
                <w:color w:val="000000"/>
                <w:sz w:val="19"/>
              </w:rPr>
              <w:t>评审/冻结指令、ERP及MES状态、执行回执、拦截测试及现场核对</w:t>
            </w:r>
          </w:p>
        </w:tc>
        <w:tc>
          <w:tcPr>
            <w:tcW w:w="1440" w:type="dxa"/>
            <w:shd w:val="clear" w:color="auto" w:fill="F1F5F8"/>
            <w:vAlign w:val="center"/>
          </w:tcPr>
          <w:p w14:paraId="624A61A6">
            <w:pPr>
              <w:spacing w:before="40" w:after="40" w:line="280" w:lineRule="exact"/>
              <w:jc w:val="center"/>
            </w:pPr>
            <w:r>
              <w:rPr>
                <w:rFonts w:ascii="Arial Unicode MS" w:hAnsi="Arial Unicode MS" w:eastAsia="Arial Unicode MS"/>
                <w:b w:val="0"/>
                <w:color w:val="000000"/>
                <w:sz w:val="19"/>
              </w:rPr>
              <w:t>100%；无越权解除和误流转</w:t>
            </w:r>
          </w:p>
        </w:tc>
        <w:tc>
          <w:tcPr>
            <w:tcW w:w="2621" w:type="dxa"/>
            <w:shd w:val="clear" w:color="auto" w:fill="F1F5F8"/>
            <w:vAlign w:val="center"/>
          </w:tcPr>
          <w:p w14:paraId="6DFBEC15">
            <w:pPr>
              <w:spacing w:before="40" w:after="40" w:line="280" w:lineRule="exact"/>
            </w:pPr>
            <w:r>
              <w:rPr>
                <w:rFonts w:ascii="Arial Unicode MS" w:hAnsi="Arial Unicode MS" w:eastAsia="Arial Unicode MS"/>
                <w:b w:val="0"/>
                <w:color w:val="000000"/>
                <w:sz w:val="19"/>
              </w:rPr>
              <w:t>W全量控制事件；另测部分数量、已投入、接口超时、重复/乱序及解除失败；无实际发生项用专项用例</w:t>
            </w:r>
          </w:p>
        </w:tc>
        <w:tc>
          <w:tcPr>
            <w:tcW w:w="1915" w:type="dxa"/>
            <w:shd w:val="clear" w:color="auto" w:fill="F1F5F8"/>
            <w:vAlign w:val="center"/>
          </w:tcPr>
          <w:p w14:paraId="1EAAE938">
            <w:pPr>
              <w:spacing w:before="40" w:after="40" w:line="280" w:lineRule="exact"/>
            </w:pPr>
            <w:r>
              <w:rPr>
                <w:rFonts w:ascii="Arial Unicode MS" w:hAnsi="Arial Unicode MS" w:eastAsia="Arial Unicode MS"/>
                <w:b w:val="0"/>
                <w:color w:val="000000"/>
                <w:sz w:val="19"/>
              </w:rPr>
              <w:t>AR6 AR53 AR56 AR85</w:t>
            </w:r>
            <w:r>
              <w:br w:type="textWrapping"/>
            </w:r>
            <w:r>
              <w:rPr>
                <w:rFonts w:ascii="Arial Unicode MS" w:hAnsi="Arial Unicode MS" w:eastAsia="Arial Unicode MS"/>
                <w:b w:val="0"/>
                <w:color w:val="000000"/>
                <w:sz w:val="19"/>
              </w:rPr>
              <w:t>F41 F65 N01 N11</w:t>
            </w:r>
          </w:p>
        </w:tc>
      </w:tr>
      <w:tr w14:paraId="32BF951A">
        <w:trPr>
          <w:cantSplit/>
          <w:jc w:val="center"/>
        </w:trPr>
        <w:tc>
          <w:tcPr>
            <w:tcW w:w="1656" w:type="dxa"/>
            <w:vAlign w:val="center"/>
          </w:tcPr>
          <w:p w14:paraId="3A1E069A">
            <w:pPr>
              <w:spacing w:before="40" w:after="40" w:line="280" w:lineRule="exact"/>
            </w:pPr>
            <w:r>
              <w:rPr>
                <w:rFonts w:ascii="Arial Unicode MS" w:hAnsi="Arial Unicode MS" w:eastAsia="Arial Unicode MS"/>
                <w:b w:val="0"/>
                <w:color w:val="000000"/>
                <w:sz w:val="19"/>
              </w:rPr>
              <w:t>A15工艺等待受控率</w:t>
            </w:r>
          </w:p>
        </w:tc>
        <w:tc>
          <w:tcPr>
            <w:tcW w:w="4435" w:type="dxa"/>
            <w:vAlign w:val="center"/>
          </w:tcPr>
          <w:p w14:paraId="495DB70A">
            <w:pPr>
              <w:spacing w:before="40" w:after="40" w:line="280" w:lineRule="exact"/>
            </w:pPr>
            <w:r>
              <w:rPr>
                <w:rFonts w:ascii="Arial Unicode MS" w:hAnsi="Arial Unicode MS" w:eastAsia="Arial Unicode MS"/>
                <w:b w:val="0"/>
                <w:color w:val="000000"/>
                <w:sz w:val="19"/>
              </w:rPr>
              <w:t>具有适用批准条件、实际起止及有效释放依据的等待对象数 ÷ 应受控等待对象数 ×100%；替代固化方法按各自批准条件验证。</w:t>
            </w:r>
          </w:p>
        </w:tc>
        <w:tc>
          <w:tcPr>
            <w:tcW w:w="1757" w:type="dxa"/>
            <w:vAlign w:val="center"/>
          </w:tcPr>
          <w:p w14:paraId="33A6A87E">
            <w:pPr>
              <w:spacing w:before="40" w:after="40" w:line="280" w:lineRule="exact"/>
            </w:pPr>
            <w:r>
              <w:rPr>
                <w:rFonts w:ascii="Arial Unicode MS" w:hAnsi="Arial Unicode MS" w:eastAsia="Arial Unicode MS"/>
                <w:b w:val="0"/>
                <w:color w:val="000000"/>
                <w:sz w:val="19"/>
              </w:rPr>
              <w:t>工程条件、MES实际事件及释放审计</w:t>
            </w:r>
          </w:p>
        </w:tc>
        <w:tc>
          <w:tcPr>
            <w:tcW w:w="1440" w:type="dxa"/>
            <w:vAlign w:val="center"/>
          </w:tcPr>
          <w:p w14:paraId="35958EB6">
            <w:pPr>
              <w:spacing w:before="40" w:after="40" w:line="280" w:lineRule="exact"/>
              <w:jc w:val="center"/>
            </w:pPr>
            <w:r>
              <w:rPr>
                <w:rFonts w:ascii="Arial Unicode MS" w:hAnsi="Arial Unicode MS" w:eastAsia="Arial Unicode MS"/>
                <w:b w:val="0"/>
                <w:color w:val="000000"/>
                <w:sz w:val="19"/>
              </w:rPr>
              <w:t>100%</w:t>
            </w:r>
          </w:p>
        </w:tc>
        <w:tc>
          <w:tcPr>
            <w:tcW w:w="2621" w:type="dxa"/>
            <w:vAlign w:val="center"/>
          </w:tcPr>
          <w:p w14:paraId="7DD82877">
            <w:pPr>
              <w:spacing w:before="40" w:after="40" w:line="280" w:lineRule="exact"/>
            </w:pPr>
            <w:r>
              <w:rPr>
                <w:rFonts w:ascii="Arial Unicode MS" w:hAnsi="Arial Unicode MS" w:eastAsia="Arial Unicode MS"/>
                <w:b w:val="0"/>
                <w:color w:val="000000"/>
                <w:sz w:val="19"/>
              </w:rPr>
              <w:t>W全量适用对象；专项验证提前流转、替代方法、跨日及离线补录</w:t>
            </w:r>
          </w:p>
        </w:tc>
        <w:tc>
          <w:tcPr>
            <w:tcW w:w="1915" w:type="dxa"/>
            <w:vAlign w:val="center"/>
          </w:tcPr>
          <w:p w14:paraId="5524C641">
            <w:pPr>
              <w:spacing w:before="40" w:after="40" w:line="280" w:lineRule="exact"/>
            </w:pPr>
            <w:r>
              <w:rPr>
                <w:rFonts w:ascii="Arial Unicode MS" w:hAnsi="Arial Unicode MS" w:eastAsia="Arial Unicode MS"/>
                <w:b w:val="0"/>
                <w:color w:val="000000"/>
                <w:sz w:val="19"/>
              </w:rPr>
              <w:t>AR562 AR56 AR87</w:t>
            </w:r>
            <w:r>
              <w:br w:type="textWrapping"/>
            </w:r>
            <w:r>
              <w:rPr>
                <w:rFonts w:ascii="Arial Unicode MS" w:hAnsi="Arial Unicode MS" w:eastAsia="Arial Unicode MS"/>
                <w:b w:val="0"/>
                <w:color w:val="000000"/>
                <w:sz w:val="19"/>
              </w:rPr>
              <w:t>F03 F60 N03 N10</w:t>
            </w:r>
          </w:p>
        </w:tc>
      </w:tr>
      <w:tr w14:paraId="57ACA965">
        <w:trPr>
          <w:cantSplit/>
          <w:jc w:val="center"/>
        </w:trPr>
        <w:tc>
          <w:tcPr>
            <w:tcW w:w="1656" w:type="dxa"/>
            <w:shd w:val="clear" w:color="auto" w:fill="F1F5F8"/>
            <w:vAlign w:val="center"/>
          </w:tcPr>
          <w:p w14:paraId="5B1CACEE">
            <w:pPr>
              <w:spacing w:before="40" w:after="40" w:line="280" w:lineRule="exact"/>
            </w:pPr>
            <w:r>
              <w:rPr>
                <w:rFonts w:ascii="Arial Unicode MS" w:hAnsi="Arial Unicode MS" w:eastAsia="Arial Unicode MS"/>
                <w:b w:val="0"/>
                <w:color w:val="000000"/>
                <w:sz w:val="19"/>
              </w:rPr>
              <w:t>A16日报与统计可复核率</w:t>
            </w:r>
          </w:p>
        </w:tc>
        <w:tc>
          <w:tcPr>
            <w:tcW w:w="4435" w:type="dxa"/>
            <w:shd w:val="clear" w:color="auto" w:fill="F1F5F8"/>
            <w:vAlign w:val="center"/>
          </w:tcPr>
          <w:p w14:paraId="685E3245">
            <w:pPr>
              <w:spacing w:before="40" w:after="40" w:line="280" w:lineRule="exact"/>
            </w:pPr>
            <w:r>
              <w:rPr>
                <w:rFonts w:ascii="Arial Unicode MS" w:hAnsi="Arial Unicode MS" w:eastAsia="Arial Unicode MS"/>
                <w:b w:val="0"/>
                <w:color w:val="000000"/>
                <w:sz w:val="19"/>
              </w:rPr>
              <w:t>能从源记录复算且按人/日/批次核对一致的统计项数 ÷ 应核统计项数 ×100%；仅去除重复采集/归集，合法跨日作业与复测分别保留，按各指标分母计算。</w:t>
            </w:r>
          </w:p>
        </w:tc>
        <w:tc>
          <w:tcPr>
            <w:tcW w:w="1757" w:type="dxa"/>
            <w:shd w:val="clear" w:color="auto" w:fill="F1F5F8"/>
            <w:vAlign w:val="center"/>
          </w:tcPr>
          <w:p w14:paraId="7B4AC92F">
            <w:pPr>
              <w:spacing w:before="40" w:after="40" w:line="280" w:lineRule="exact"/>
            </w:pPr>
            <w:r>
              <w:rPr>
                <w:rFonts w:ascii="Arial Unicode MS" w:hAnsi="Arial Unicode MS" w:eastAsia="Arial Unicode MS"/>
                <w:b w:val="0"/>
                <w:color w:val="000000"/>
                <w:sz w:val="19"/>
              </w:rPr>
              <w:t>原始记录、日报/周月报、计算版本及对账结果</w:t>
            </w:r>
          </w:p>
        </w:tc>
        <w:tc>
          <w:tcPr>
            <w:tcW w:w="1440" w:type="dxa"/>
            <w:shd w:val="clear" w:color="auto" w:fill="F1F5F8"/>
            <w:vAlign w:val="center"/>
          </w:tcPr>
          <w:p w14:paraId="04B6ABC2">
            <w:pPr>
              <w:spacing w:before="40" w:after="40" w:line="280" w:lineRule="exact"/>
              <w:jc w:val="center"/>
            </w:pPr>
            <w:r>
              <w:rPr>
                <w:rFonts w:ascii="Arial Unicode MS" w:hAnsi="Arial Unicode MS" w:eastAsia="Arial Unicode MS"/>
                <w:b w:val="0"/>
                <w:color w:val="000000"/>
                <w:sz w:val="19"/>
              </w:rPr>
              <w:t>100%</w:t>
            </w:r>
          </w:p>
        </w:tc>
        <w:tc>
          <w:tcPr>
            <w:tcW w:w="2621" w:type="dxa"/>
            <w:shd w:val="clear" w:color="auto" w:fill="F1F5F8"/>
            <w:vAlign w:val="center"/>
          </w:tcPr>
          <w:p w14:paraId="33D8EB59">
            <w:pPr>
              <w:spacing w:before="40" w:after="40" w:line="280" w:lineRule="exact"/>
            </w:pPr>
            <w:r>
              <w:rPr>
                <w:rFonts w:ascii="Arial Unicode MS" w:hAnsi="Arial Unicode MS" w:eastAsia="Arial Unicode MS"/>
                <w:b w:val="0"/>
                <w:color w:val="000000"/>
                <w:sz w:val="19"/>
              </w:rPr>
              <w:t>W全量深圳试点必要日报及批准统计；至少2组周/月边界用例，含数据源失效及恢复验证</w:t>
            </w:r>
          </w:p>
        </w:tc>
        <w:tc>
          <w:tcPr>
            <w:tcW w:w="1915" w:type="dxa"/>
            <w:shd w:val="clear" w:color="auto" w:fill="F1F5F8"/>
            <w:vAlign w:val="center"/>
          </w:tcPr>
          <w:p w14:paraId="375D762D">
            <w:pPr>
              <w:spacing w:before="40" w:after="40" w:line="280" w:lineRule="exact"/>
            </w:pPr>
            <w:r>
              <w:rPr>
                <w:rFonts w:ascii="Arial Unicode MS" w:hAnsi="Arial Unicode MS" w:eastAsia="Arial Unicode MS"/>
                <w:b w:val="0"/>
                <w:color w:val="000000"/>
                <w:sz w:val="19"/>
              </w:rPr>
              <w:t>AR56 AR6 AR87</w:t>
            </w:r>
            <w:r>
              <w:br w:type="textWrapping"/>
            </w:r>
            <w:r>
              <w:rPr>
                <w:rFonts w:ascii="Arial Unicode MS" w:hAnsi="Arial Unicode MS" w:eastAsia="Arial Unicode MS"/>
                <w:b w:val="0"/>
                <w:color w:val="000000"/>
                <w:sz w:val="19"/>
              </w:rPr>
              <w:t>F07 F48 F64 N10</w:t>
            </w:r>
          </w:p>
        </w:tc>
      </w:tr>
    </w:tbl>
    <w:p w14:paraId="34584E17">
      <w:pPr>
        <w:spacing w:before="20" w:after="20" w:line="120" w:lineRule="auto"/>
      </w:pPr>
    </w:p>
    <w:p w14:paraId="59953C8C">
      <w:pPr>
        <w:sectPr>
          <w:pgSz w:w="15840" w:h="12240" w:orient="landscape"/>
          <w:pgMar w:top="936" w:right="1008" w:bottom="936" w:left="1008" w:header="432" w:footer="432" w:gutter="0"/>
          <w:cols w:space="720" w:num="1"/>
          <w:docGrid w:linePitch="360" w:charSpace="0"/>
        </w:sectPr>
      </w:pPr>
    </w:p>
    <w:p w14:paraId="3054A40F">
      <w:pPr>
        <w:pStyle w:val="3"/>
        <w:pageBreakBefore w:val="0"/>
      </w:pPr>
      <w:bookmarkStart w:id="17" w:name="ch5"/>
      <w:r>
        <w:rPr>
          <w:rFonts w:ascii="Arial Unicode MS" w:hAnsi="Arial Unicode MS" w:eastAsia="Arial Unicode MS"/>
          <w:b/>
          <w:color w:val="000000"/>
        </w:rPr>
        <w:t>第五章 建设规划</w:t>
      </w:r>
      <w:bookmarkEnd w:id="17"/>
    </w:p>
    <w:p w14:paraId="6E7D285B">
      <w:pPr>
        <w:pStyle w:val="4"/>
        <w:pageBreakBefore w:val="0"/>
        <w:rPr>
          <w:rFonts w:ascii="Arial Unicode MS" w:hAnsi="Arial Unicode MS" w:eastAsia="Arial Unicode MS"/>
          <w:b/>
          <w:color w:val="000000"/>
        </w:rPr>
      </w:pPr>
      <w:bookmarkStart w:id="18" w:name="blueprint"/>
      <w:r>
        <w:rPr>
          <w:rFonts w:ascii="Arial Unicode MS" w:hAnsi="Arial Unicode MS" w:eastAsia="Arial Unicode MS"/>
          <w:b/>
          <w:color w:val="000000"/>
        </w:rPr>
        <w:t>目标系统架构</w:t>
      </w:r>
      <w:bookmarkEnd w:id="18"/>
    </w:p>
    <w:p w14:paraId="48188183">
      <w:r>
        <w:rPr>
          <w:rFonts w:ascii="Arial Unicode MS" w:hAnsi="Arial Unicode MS" w:eastAsia="Arial Unicode MS"/>
          <w:color w:val="000000"/>
        </w:rPr>
        <w:t>目标蓝图以既有ERP、PLM及协同应用为经营与工程基础，以新MES承载深圳试点的执行、物料、原始质量记录和追溯，形成可供上海新工厂复用的基础模板。上海面向新生产模式、机加与SMT等新增工艺、多工厂协同及深化应用扩展能力。产测软件保留测试控制；ERP保留检验及库存事务，飞书承接既有评审和8D审批。数据标准、集成事务、安全审计及运行保障贯穿各层，专业能力预留不代表已部署或需独立采购。</w:t>
      </w:r>
    </w:p>
    <w:p w14:paraId="1FE748F5">
      <w:pPr>
        <w:keepNext/>
        <w:spacing w:after="60" w:line="240" w:lineRule="auto"/>
        <w:jc w:val="center"/>
      </w:pPr>
      <w:r>
        <w:drawing>
          <wp:inline distT="0" distB="0" distL="114300" distR="114300">
            <wp:extent cx="6355080" cy="5427980"/>
            <wp:effectExtent l="0" t="0" r="20320" b="7620"/>
            <wp:docPr id="14" name="Picture 14" descr="企业制造信息架构 三层活动 四种建设状态 数据集成与安全运维贯穿各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企业制造信息架构 三层活动 四种建设状态 数据集成与安全运维贯穿各层"/>
                    <pic:cNvPicPr>
                      <a:picLocks noChangeAspect="1"/>
                    </pic:cNvPicPr>
                  </pic:nvPicPr>
                  <pic:blipFill>
                    <a:blip r:embed="rId8"/>
                    <a:stretch>
                      <a:fillRect/>
                    </a:stretch>
                  </pic:blipFill>
                  <pic:spPr>
                    <a:xfrm>
                      <a:off x="0" y="0"/>
                      <a:ext cx="6355080" cy="5428298"/>
                    </a:xfrm>
                    <a:prstGeom prst="rect">
                      <a:avLst/>
                    </a:prstGeom>
                  </pic:spPr>
                </pic:pic>
              </a:graphicData>
            </a:graphic>
          </wp:inline>
        </w:drawing>
      </w:r>
    </w:p>
    <w:p w14:paraId="585592E8">
      <w:pPr>
        <w:spacing w:after="180"/>
        <w:jc w:val="center"/>
      </w:pPr>
      <w:r>
        <w:rPr>
          <w:rFonts w:ascii="Arial Unicode MS" w:hAnsi="Arial Unicode MS" w:eastAsia="Arial Unicode MS"/>
          <w:color w:val="000000"/>
        </w:rPr>
        <w:t>图12 企业制造信息架构及本次建设定位</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872"/>
        <w:gridCol w:w="3672"/>
        <w:gridCol w:w="4536"/>
      </w:tblGrid>
      <w:tr w14:paraId="6C6FC1C0">
        <w:trPr>
          <w:cantSplit/>
          <w:tblHeader/>
          <w:jc w:val="center"/>
        </w:trPr>
        <w:tc>
          <w:tcPr>
            <w:tcW w:w="1872" w:type="dxa"/>
            <w:shd w:val="clear" w:color="auto" w:fill="234A68"/>
            <w:vAlign w:val="center"/>
          </w:tcPr>
          <w:p w14:paraId="6ABEEEE3">
            <w:pPr>
              <w:keepNext/>
              <w:spacing w:before="40" w:after="40" w:line="280" w:lineRule="exact"/>
              <w:jc w:val="center"/>
            </w:pPr>
            <w:r>
              <w:rPr>
                <w:rFonts w:ascii="Arial Unicode MS" w:hAnsi="Arial Unicode MS" w:eastAsia="Arial Unicode MS"/>
                <w:b/>
                <w:color w:val="FFFFFF"/>
                <w:sz w:val="20"/>
              </w:rPr>
              <w:t>系统或能力</w:t>
            </w:r>
          </w:p>
        </w:tc>
        <w:tc>
          <w:tcPr>
            <w:tcW w:w="3672" w:type="dxa"/>
            <w:shd w:val="clear" w:color="auto" w:fill="234A68"/>
            <w:vAlign w:val="center"/>
          </w:tcPr>
          <w:p w14:paraId="5CD724D0">
            <w:pPr>
              <w:keepNext/>
              <w:spacing w:before="40" w:after="40" w:line="280" w:lineRule="exact"/>
              <w:jc w:val="center"/>
            </w:pPr>
            <w:r>
              <w:rPr>
                <w:rFonts w:ascii="Arial Unicode MS" w:hAnsi="Arial Unicode MS" w:eastAsia="Arial Unicode MS"/>
                <w:b/>
                <w:color w:val="FFFFFF"/>
                <w:sz w:val="20"/>
              </w:rPr>
              <w:t>职责边界</w:t>
            </w:r>
          </w:p>
        </w:tc>
        <w:tc>
          <w:tcPr>
            <w:tcW w:w="4536" w:type="dxa"/>
            <w:shd w:val="clear" w:color="auto" w:fill="234A68"/>
            <w:vAlign w:val="center"/>
          </w:tcPr>
          <w:p w14:paraId="1C396233">
            <w:pPr>
              <w:keepNext/>
              <w:spacing w:before="40" w:after="40" w:line="280" w:lineRule="exact"/>
              <w:jc w:val="center"/>
            </w:pPr>
            <w:r>
              <w:rPr>
                <w:rFonts w:ascii="Arial Unicode MS" w:hAnsi="Arial Unicode MS" w:eastAsia="Arial Unicode MS"/>
                <w:b/>
                <w:color w:val="FFFFFF"/>
                <w:sz w:val="20"/>
              </w:rPr>
              <w:t>与MES交接</w:t>
            </w:r>
          </w:p>
        </w:tc>
      </w:tr>
      <w:tr w14:paraId="4DA45F31">
        <w:trPr>
          <w:cantSplit/>
          <w:jc w:val="center"/>
        </w:trPr>
        <w:tc>
          <w:tcPr>
            <w:tcW w:w="1872" w:type="dxa"/>
            <w:vAlign w:val="center"/>
          </w:tcPr>
          <w:p w14:paraId="6C0BD15B">
            <w:pPr>
              <w:spacing w:before="40" w:after="40" w:line="280" w:lineRule="exact"/>
            </w:pPr>
            <w:r>
              <w:rPr>
                <w:rFonts w:ascii="Arial Unicode MS" w:hAnsi="Arial Unicode MS" w:eastAsia="Arial Unicode MS"/>
                <w:b w:val="0"/>
                <w:color w:val="000000"/>
                <w:sz w:val="20"/>
              </w:rPr>
              <w:t>ERP及计划应用</w:t>
            </w:r>
          </w:p>
        </w:tc>
        <w:tc>
          <w:tcPr>
            <w:tcW w:w="3672" w:type="dxa"/>
            <w:vAlign w:val="center"/>
          </w:tcPr>
          <w:p w14:paraId="6277B6F1">
            <w:pPr>
              <w:spacing w:before="40" w:after="40" w:line="280" w:lineRule="exact"/>
            </w:pPr>
            <w:r>
              <w:rPr>
                <w:rFonts w:ascii="Arial Unicode MS" w:hAnsi="Arial Unicode MS" w:eastAsia="Arial Unicode MS"/>
                <w:b w:val="0"/>
                <w:color w:val="000000"/>
                <w:sz w:val="20"/>
              </w:rPr>
              <w:t>订单、MPS/MRP、采购委外、库存和财务账务</w:t>
            </w:r>
          </w:p>
        </w:tc>
        <w:tc>
          <w:tcPr>
            <w:tcW w:w="4536" w:type="dxa"/>
            <w:vAlign w:val="center"/>
          </w:tcPr>
          <w:p w14:paraId="33BA5010">
            <w:pPr>
              <w:spacing w:before="40" w:after="40" w:line="280" w:lineRule="exact"/>
            </w:pPr>
            <w:r>
              <w:rPr>
                <w:rFonts w:ascii="Arial Unicode MS" w:hAnsi="Arial Unicode MS" w:eastAsia="Arial Unicode MS"/>
                <w:b w:val="0"/>
                <w:color w:val="000000"/>
                <w:sz w:val="20"/>
              </w:rPr>
              <w:t>向MES下达获准任务与变更，接收执行、用料、完工及交接事件</w:t>
            </w:r>
          </w:p>
        </w:tc>
      </w:tr>
      <w:tr w14:paraId="51FF50FD">
        <w:trPr>
          <w:cantSplit/>
          <w:jc w:val="center"/>
        </w:trPr>
        <w:tc>
          <w:tcPr>
            <w:tcW w:w="1872" w:type="dxa"/>
            <w:shd w:val="clear" w:color="auto" w:fill="F1F5F8"/>
            <w:vAlign w:val="center"/>
          </w:tcPr>
          <w:p w14:paraId="407A566A">
            <w:pPr>
              <w:spacing w:before="40" w:after="40" w:line="280" w:lineRule="exact"/>
            </w:pPr>
            <w:r>
              <w:rPr>
                <w:rFonts w:ascii="Arial Unicode MS" w:hAnsi="Arial Unicode MS" w:eastAsia="Arial Unicode MS"/>
                <w:b w:val="0"/>
                <w:color w:val="000000"/>
                <w:sz w:val="20"/>
              </w:rPr>
              <w:t>PLM及工程管理</w:t>
            </w:r>
          </w:p>
        </w:tc>
        <w:tc>
          <w:tcPr>
            <w:tcW w:w="3672" w:type="dxa"/>
            <w:shd w:val="clear" w:color="auto" w:fill="F1F5F8"/>
            <w:vAlign w:val="center"/>
          </w:tcPr>
          <w:p w14:paraId="523F1423">
            <w:pPr>
              <w:spacing w:before="40" w:after="40" w:line="280" w:lineRule="exact"/>
            </w:pPr>
            <w:r>
              <w:rPr>
                <w:rFonts w:ascii="Arial Unicode MS" w:hAnsi="Arial Unicode MS" w:eastAsia="Arial Unicode MS"/>
                <w:b w:val="0"/>
                <w:color w:val="000000"/>
                <w:sz w:val="20"/>
              </w:rPr>
              <w:t>产品定义、BOM与工程文件、ECN批准</w:t>
            </w:r>
          </w:p>
        </w:tc>
        <w:tc>
          <w:tcPr>
            <w:tcW w:w="4536" w:type="dxa"/>
            <w:shd w:val="clear" w:color="auto" w:fill="F1F5F8"/>
            <w:vAlign w:val="center"/>
          </w:tcPr>
          <w:p w14:paraId="05A277B3">
            <w:pPr>
              <w:spacing w:before="40" w:after="40" w:line="280" w:lineRule="exact"/>
            </w:pPr>
            <w:r>
              <w:rPr>
                <w:rFonts w:ascii="Arial Unicode MS" w:hAnsi="Arial Unicode MS" w:eastAsia="Arial Unicode MS"/>
                <w:b w:val="0"/>
                <w:color w:val="000000"/>
                <w:sz w:val="20"/>
              </w:rPr>
              <w:t>向MES发布适用制造依据，接收首产、执行偏离与追溯反馈</w:t>
            </w:r>
          </w:p>
        </w:tc>
      </w:tr>
      <w:tr w14:paraId="75A1532E">
        <w:trPr>
          <w:cantSplit/>
          <w:jc w:val="center"/>
        </w:trPr>
        <w:tc>
          <w:tcPr>
            <w:tcW w:w="1872" w:type="dxa"/>
            <w:vAlign w:val="center"/>
          </w:tcPr>
          <w:p w14:paraId="0446DBBC">
            <w:pPr>
              <w:spacing w:before="40" w:after="40" w:line="280" w:lineRule="exact"/>
            </w:pPr>
            <w:r>
              <w:rPr>
                <w:rFonts w:ascii="Arial Unicode MS" w:hAnsi="Arial Unicode MS" w:eastAsia="Arial Unicode MS"/>
                <w:b w:val="0"/>
                <w:color w:val="000000"/>
                <w:sz w:val="20"/>
              </w:rPr>
              <w:t>新MES</w:t>
            </w:r>
          </w:p>
        </w:tc>
        <w:tc>
          <w:tcPr>
            <w:tcW w:w="3672" w:type="dxa"/>
            <w:vAlign w:val="center"/>
          </w:tcPr>
          <w:p w14:paraId="66909FF9">
            <w:pPr>
              <w:spacing w:before="40" w:after="40" w:line="280" w:lineRule="exact"/>
            </w:pPr>
            <w:r>
              <w:rPr>
                <w:rFonts w:ascii="Arial Unicode MS" w:hAnsi="Arial Unicode MS" w:eastAsia="Arial Unicode MS"/>
                <w:b w:val="0"/>
                <w:color w:val="000000"/>
                <w:sz w:val="20"/>
              </w:rPr>
              <w:t>准备、资源、执行、实际用料、试点原始检验记录、质量限制与产品谱系</w:t>
            </w:r>
          </w:p>
        </w:tc>
        <w:tc>
          <w:tcPr>
            <w:tcW w:w="4536" w:type="dxa"/>
            <w:vAlign w:val="center"/>
          </w:tcPr>
          <w:p w14:paraId="5B53EDA2">
            <w:pPr>
              <w:spacing w:before="40" w:after="40" w:line="280" w:lineRule="exact"/>
            </w:pPr>
            <w:r>
              <w:rPr>
                <w:rFonts w:ascii="Arial Unicode MS" w:hAnsi="Arial Unicode MS" w:eastAsia="Arial Unicode MS"/>
                <w:b w:val="0"/>
                <w:color w:val="000000"/>
                <w:sz w:val="20"/>
              </w:rPr>
              <w:t>关联单据、供应商批次/接收标识、产品SN、依据版本与事件，提供报告及客诉取证</w:t>
            </w:r>
          </w:p>
        </w:tc>
      </w:tr>
      <w:tr w14:paraId="72687D92">
        <w:trPr>
          <w:cantSplit/>
          <w:jc w:val="center"/>
        </w:trPr>
        <w:tc>
          <w:tcPr>
            <w:tcW w:w="1872" w:type="dxa"/>
            <w:shd w:val="clear" w:color="auto" w:fill="F1F5F8"/>
            <w:vAlign w:val="center"/>
          </w:tcPr>
          <w:p w14:paraId="44D67898">
            <w:pPr>
              <w:spacing w:before="40" w:after="40" w:line="280" w:lineRule="exact"/>
            </w:pPr>
            <w:r>
              <w:rPr>
                <w:rFonts w:ascii="Arial Unicode MS" w:hAnsi="Arial Unicode MS" w:eastAsia="Arial Unicode MS"/>
                <w:b w:val="0"/>
                <w:color w:val="000000"/>
                <w:sz w:val="20"/>
              </w:rPr>
              <w:t>WMS及仓储执行</w:t>
            </w:r>
          </w:p>
        </w:tc>
        <w:tc>
          <w:tcPr>
            <w:tcW w:w="3672" w:type="dxa"/>
            <w:shd w:val="clear" w:color="auto" w:fill="F1F5F8"/>
            <w:vAlign w:val="center"/>
          </w:tcPr>
          <w:p w14:paraId="4F2664C6">
            <w:pPr>
              <w:spacing w:before="40" w:after="40" w:line="280" w:lineRule="exact"/>
            </w:pPr>
            <w:r>
              <w:rPr>
                <w:rFonts w:ascii="Arial Unicode MS" w:hAnsi="Arial Unicode MS" w:eastAsia="Arial Unicode MS"/>
                <w:b w:val="0"/>
                <w:color w:val="000000"/>
                <w:sz w:val="20"/>
              </w:rPr>
              <w:t>位置、备货、移动和实物交接</w:t>
            </w:r>
          </w:p>
        </w:tc>
        <w:tc>
          <w:tcPr>
            <w:tcW w:w="4536" w:type="dxa"/>
            <w:shd w:val="clear" w:color="auto" w:fill="F1F5F8"/>
            <w:vAlign w:val="center"/>
          </w:tcPr>
          <w:p w14:paraId="27CDFB6F">
            <w:pPr>
              <w:spacing w:before="40" w:after="40" w:line="280" w:lineRule="exact"/>
            </w:pPr>
            <w:r>
              <w:rPr>
                <w:rFonts w:ascii="Arial Unicode MS" w:hAnsi="Arial Unicode MS" w:eastAsia="Arial Unicode MS"/>
                <w:b w:val="0"/>
                <w:color w:val="000000"/>
                <w:sz w:val="20"/>
              </w:rPr>
              <w:t>轻量能力先满足试点；独立WMS按范围选择，不重复建立库存财务账</w:t>
            </w:r>
          </w:p>
        </w:tc>
      </w:tr>
      <w:tr w14:paraId="5B6F0668">
        <w:trPr>
          <w:cantSplit/>
          <w:jc w:val="center"/>
        </w:trPr>
        <w:tc>
          <w:tcPr>
            <w:tcW w:w="1872" w:type="dxa"/>
            <w:vAlign w:val="center"/>
          </w:tcPr>
          <w:p w14:paraId="69C882CD">
            <w:pPr>
              <w:spacing w:before="40" w:after="40" w:line="280" w:lineRule="exact"/>
            </w:pPr>
            <w:r>
              <w:rPr>
                <w:rFonts w:ascii="Arial Unicode MS" w:hAnsi="Arial Unicode MS" w:eastAsia="Arial Unicode MS"/>
                <w:b w:val="0"/>
                <w:color w:val="000000"/>
                <w:sz w:val="20"/>
              </w:rPr>
              <w:t>QMS EAM APS BI</w:t>
            </w:r>
          </w:p>
        </w:tc>
        <w:tc>
          <w:tcPr>
            <w:tcW w:w="3672" w:type="dxa"/>
            <w:vAlign w:val="center"/>
          </w:tcPr>
          <w:p w14:paraId="3DB3DE8E">
            <w:pPr>
              <w:spacing w:before="40" w:after="40" w:line="280" w:lineRule="exact"/>
            </w:pPr>
            <w:r>
              <w:rPr>
                <w:rFonts w:ascii="Arial Unicode MS" w:hAnsi="Arial Unicode MS" w:eastAsia="Arial Unicode MS"/>
                <w:b w:val="0"/>
                <w:color w:val="000000"/>
                <w:sz w:val="20"/>
              </w:rPr>
              <w:t>专业质量、资产维护、精细排程及企业分析</w:t>
            </w:r>
          </w:p>
        </w:tc>
        <w:tc>
          <w:tcPr>
            <w:tcW w:w="4536" w:type="dxa"/>
            <w:vAlign w:val="center"/>
          </w:tcPr>
          <w:p w14:paraId="27DE933E">
            <w:pPr>
              <w:spacing w:before="40" w:after="40" w:line="280" w:lineRule="exact"/>
            </w:pPr>
            <w:r>
              <w:rPr>
                <w:rFonts w:ascii="Arial Unicode MS" w:hAnsi="Arial Unicode MS" w:eastAsia="Arial Unicode MS"/>
                <w:b w:val="0"/>
                <w:color w:val="000000"/>
                <w:sz w:val="20"/>
              </w:rPr>
              <w:t>通过共同标识及状态交换协同；专业应用不自动纳入深圳试点MES</w:t>
            </w:r>
          </w:p>
        </w:tc>
      </w:tr>
      <w:tr w14:paraId="3D9454CC">
        <w:trPr>
          <w:cantSplit/>
          <w:jc w:val="center"/>
        </w:trPr>
        <w:tc>
          <w:tcPr>
            <w:tcW w:w="1872" w:type="dxa"/>
            <w:shd w:val="clear" w:color="auto" w:fill="F1F5F8"/>
            <w:vAlign w:val="center"/>
          </w:tcPr>
          <w:p w14:paraId="3C0ECC54">
            <w:pPr>
              <w:spacing w:before="40" w:after="40" w:line="280" w:lineRule="exact"/>
            </w:pPr>
            <w:r>
              <w:rPr>
                <w:rFonts w:ascii="Arial Unicode MS" w:hAnsi="Arial Unicode MS" w:eastAsia="Arial Unicode MS"/>
                <w:b w:val="0"/>
                <w:color w:val="000000"/>
                <w:sz w:val="20"/>
              </w:rPr>
              <w:t>CRM SRM及协同平台</w:t>
            </w:r>
          </w:p>
        </w:tc>
        <w:tc>
          <w:tcPr>
            <w:tcW w:w="3672" w:type="dxa"/>
            <w:shd w:val="clear" w:color="auto" w:fill="F1F5F8"/>
            <w:vAlign w:val="center"/>
          </w:tcPr>
          <w:p w14:paraId="08B9A6A7">
            <w:pPr>
              <w:spacing w:before="40" w:after="40" w:line="280" w:lineRule="exact"/>
            </w:pPr>
            <w:r>
              <w:rPr>
                <w:rFonts w:ascii="Arial Unicode MS" w:hAnsi="Arial Unicode MS" w:eastAsia="Arial Unicode MS"/>
                <w:b w:val="0"/>
                <w:color w:val="000000"/>
                <w:sz w:val="20"/>
              </w:rPr>
              <w:t>客户与供应协同；飞书等承接既有评审及8D审批，签署作为协同配套优化</w:t>
            </w:r>
          </w:p>
        </w:tc>
        <w:tc>
          <w:tcPr>
            <w:tcW w:w="4536" w:type="dxa"/>
            <w:shd w:val="clear" w:color="auto" w:fill="F1F5F8"/>
            <w:vAlign w:val="center"/>
          </w:tcPr>
          <w:p w14:paraId="7C0D1368">
            <w:pPr>
              <w:spacing w:before="40" w:after="40" w:line="280" w:lineRule="exact"/>
            </w:pPr>
            <w:r>
              <w:rPr>
                <w:rFonts w:ascii="Arial Unicode MS" w:hAnsi="Arial Unicode MS" w:eastAsia="Arial Unicode MS"/>
                <w:b w:val="0"/>
                <w:color w:val="000000"/>
                <w:sz w:val="20"/>
              </w:rPr>
              <w:t>MES提供制造证据并消费必要批准结果，审批与执行状态通过对象及事件关联</w:t>
            </w:r>
          </w:p>
        </w:tc>
      </w:tr>
      <w:tr w14:paraId="56413798">
        <w:trPr>
          <w:cantSplit/>
          <w:jc w:val="center"/>
        </w:trPr>
        <w:tc>
          <w:tcPr>
            <w:tcW w:w="1872" w:type="dxa"/>
            <w:vAlign w:val="center"/>
          </w:tcPr>
          <w:p w14:paraId="16957716">
            <w:pPr>
              <w:spacing w:before="40" w:after="40" w:line="280" w:lineRule="exact"/>
            </w:pPr>
            <w:r>
              <w:rPr>
                <w:rFonts w:ascii="Arial Unicode MS" w:hAnsi="Arial Unicode MS" w:eastAsia="Arial Unicode MS"/>
                <w:b w:val="0"/>
                <w:color w:val="000000"/>
                <w:sz w:val="20"/>
              </w:rPr>
              <w:t>产测及现场工具</w:t>
            </w:r>
          </w:p>
        </w:tc>
        <w:tc>
          <w:tcPr>
            <w:tcW w:w="3672" w:type="dxa"/>
            <w:vAlign w:val="center"/>
          </w:tcPr>
          <w:p w14:paraId="00C057F4">
            <w:pPr>
              <w:spacing w:before="40" w:after="40" w:line="280" w:lineRule="exact"/>
            </w:pPr>
            <w:r>
              <w:rPr>
                <w:rFonts w:ascii="Arial Unicode MS" w:hAnsi="Arial Unicode MS" w:eastAsia="Arial Unicode MS"/>
                <w:b w:val="0"/>
                <w:color w:val="000000"/>
                <w:sz w:val="20"/>
              </w:rPr>
              <w:t>自动测试控制、量具测量及原始数据</w:t>
            </w:r>
          </w:p>
        </w:tc>
        <w:tc>
          <w:tcPr>
            <w:tcW w:w="4536" w:type="dxa"/>
            <w:vAlign w:val="center"/>
          </w:tcPr>
          <w:p w14:paraId="0C769112">
            <w:pPr>
              <w:spacing w:before="40" w:after="40" w:line="280" w:lineRule="exact"/>
            </w:pPr>
            <w:r>
              <w:rPr>
                <w:rFonts w:ascii="Arial Unicode MS" w:hAnsi="Arial Unicode MS" w:eastAsia="Arial Unicode MS"/>
                <w:b w:val="0"/>
                <w:color w:val="000000"/>
                <w:sz w:val="20"/>
              </w:rPr>
              <w:t>MES提供SN、型号和模组版本；产测软件保留配置选择与测试控制，回传实际软件版本和结果</w:t>
            </w:r>
          </w:p>
        </w:tc>
      </w:tr>
    </w:tbl>
    <w:p w14:paraId="74B92528">
      <w:pPr>
        <w:spacing w:before="20" w:after="20" w:line="120" w:lineRule="auto"/>
      </w:pPr>
    </w:p>
    <w:p w14:paraId="09377A13">
      <w:r>
        <w:rPr>
          <w:rFonts w:ascii="Arial Unicode MS" w:hAnsi="Arial Unicode MS" w:eastAsia="Arial Unicode MS"/>
          <w:color w:val="000000"/>
        </w:rPr>
        <w:t>统一工厂、委托/生产组织、ERP任务主键、产品SN、PCBA序列、来源批次/接收标识、送检与合检集合、载具、工序、资源及版本。账务或物料身份转换与物理作业分别建模。接口覆盖新增、变更、取消和执行事件，支持幂等、重试、对账及补偿；审批结论、ERP判定、MES限制与实际交接分别定义并核对。</w:t>
      </w:r>
    </w:p>
    <w:p w14:paraId="25318860">
      <w:pPr>
        <w:pStyle w:val="4"/>
        <w:pageBreakBefore w:val="0"/>
        <w:rPr>
          <w:rFonts w:ascii="Arial Unicode MS" w:hAnsi="Arial Unicode MS" w:eastAsia="Arial Unicode MS"/>
          <w:b/>
          <w:color w:val="000000"/>
        </w:rPr>
      </w:pPr>
      <w:bookmarkStart w:id="19" w:name="milestones"/>
      <w:bookmarkEnd w:id="19"/>
      <w:r>
        <w:rPr>
          <w:rFonts w:ascii="Arial Unicode MS" w:hAnsi="Arial Unicode MS" w:eastAsia="Arial Unicode MS"/>
          <w:color w:val="000000"/>
        </w:rPr>
        <w:t>分期系统实施时间表</w:t>
      </w:r>
    </w:p>
    <w:p w14:paraId="31593330">
      <w:r>
        <w:rPr>
          <w:rFonts w:ascii="Arial Unicode MS" w:hAnsi="Arial Unicode MS" w:eastAsia="Arial Unicode MS"/>
          <w:color w:val="000000"/>
        </w:rPr>
        <w:t>建设分为现阶段改善与流程梳理、深圳工厂试点、上海新工厂三期。首期先明确现有及目标流程、业务对象、状态和例外规则，形成面向选型的需求基线；上海新工厂需求明确后再开展厂商及实施商选型，降低反复澄清、变更及重复投入。选型完成后以深圳验证共性能力，上海按全产线生产范围准备和投用。各期实施时间由需求基线、选型结果及建厂计划协同确定。</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584"/>
        <w:gridCol w:w="1440"/>
        <w:gridCol w:w="4032"/>
        <w:gridCol w:w="3024"/>
      </w:tblGrid>
      <w:tr w14:paraId="6B3D9853">
        <w:trPr>
          <w:cantSplit/>
          <w:tblHeader/>
          <w:jc w:val="center"/>
        </w:trPr>
        <w:tc>
          <w:tcPr>
            <w:tcW w:w="1584" w:type="dxa"/>
            <w:shd w:val="clear" w:color="auto" w:fill="234A68"/>
            <w:vAlign w:val="center"/>
          </w:tcPr>
          <w:p w14:paraId="6AEC7905">
            <w:pPr>
              <w:keepNext/>
              <w:spacing w:before="40" w:after="40" w:line="280" w:lineRule="exact"/>
              <w:jc w:val="center"/>
            </w:pPr>
            <w:r>
              <w:rPr>
                <w:rFonts w:ascii="Arial Unicode MS" w:hAnsi="Arial Unicode MS" w:eastAsia="Arial Unicode MS"/>
                <w:b/>
                <w:color w:val="FFFFFF"/>
                <w:sz w:val="20"/>
              </w:rPr>
              <w:t>阶段</w:t>
            </w:r>
          </w:p>
        </w:tc>
        <w:tc>
          <w:tcPr>
            <w:tcW w:w="1440" w:type="dxa"/>
            <w:shd w:val="clear" w:color="auto" w:fill="234A68"/>
            <w:vAlign w:val="center"/>
          </w:tcPr>
          <w:p w14:paraId="5C01E851">
            <w:pPr>
              <w:keepNext/>
              <w:spacing w:before="40" w:after="40" w:line="280" w:lineRule="exact"/>
              <w:jc w:val="center"/>
            </w:pPr>
            <w:r>
              <w:rPr>
                <w:rFonts w:ascii="Arial Unicode MS" w:hAnsi="Arial Unicode MS" w:eastAsia="Arial Unicode MS"/>
                <w:b/>
                <w:color w:val="FFFFFF"/>
                <w:sz w:val="20"/>
              </w:rPr>
              <w:t>实施窗口</w:t>
            </w:r>
          </w:p>
        </w:tc>
        <w:tc>
          <w:tcPr>
            <w:tcW w:w="4032" w:type="dxa"/>
            <w:shd w:val="clear" w:color="auto" w:fill="234A68"/>
            <w:vAlign w:val="center"/>
          </w:tcPr>
          <w:p w14:paraId="66CBBC09">
            <w:pPr>
              <w:keepNext/>
              <w:spacing w:before="40" w:after="40" w:line="280" w:lineRule="exact"/>
              <w:jc w:val="center"/>
            </w:pPr>
            <w:r>
              <w:rPr>
                <w:rFonts w:ascii="Arial Unicode MS" w:hAnsi="Arial Unicode MS" w:eastAsia="Arial Unicode MS"/>
                <w:b/>
                <w:color w:val="FFFFFF"/>
                <w:sz w:val="20"/>
              </w:rPr>
              <w:t>业务能力及系统投用</w:t>
            </w:r>
          </w:p>
        </w:tc>
        <w:tc>
          <w:tcPr>
            <w:tcW w:w="3024" w:type="dxa"/>
            <w:shd w:val="clear" w:color="auto" w:fill="234A68"/>
            <w:vAlign w:val="center"/>
          </w:tcPr>
          <w:p w14:paraId="06EB5299">
            <w:pPr>
              <w:keepNext/>
              <w:spacing w:before="40" w:after="40" w:line="280" w:lineRule="exact"/>
              <w:jc w:val="center"/>
            </w:pPr>
            <w:r>
              <w:rPr>
                <w:rFonts w:ascii="Arial Unicode MS" w:hAnsi="Arial Unicode MS" w:eastAsia="Arial Unicode MS"/>
                <w:b/>
                <w:color w:val="FFFFFF"/>
                <w:sz w:val="20"/>
              </w:rPr>
              <w:t>阶段结果</w:t>
            </w:r>
          </w:p>
        </w:tc>
      </w:tr>
      <w:tr w14:paraId="717B0E91">
        <w:trPr>
          <w:cantSplit/>
          <w:jc w:val="center"/>
        </w:trPr>
        <w:tc>
          <w:tcPr>
            <w:tcW w:w="1584" w:type="dxa"/>
            <w:vAlign w:val="center"/>
          </w:tcPr>
          <w:p w14:paraId="7039D75A">
            <w:pPr>
              <w:spacing w:before="40" w:after="40" w:line="280" w:lineRule="exact"/>
            </w:pPr>
            <w:r>
              <w:rPr>
                <w:rFonts w:ascii="Arial Unicode MS" w:hAnsi="Arial Unicode MS" w:eastAsia="Arial Unicode MS"/>
                <w:b w:val="0"/>
                <w:color w:val="000000"/>
                <w:sz w:val="20"/>
              </w:rPr>
              <w:t>一期：现阶段可先行开展的改善项与流程梳理优化</w:t>
            </w:r>
          </w:p>
        </w:tc>
        <w:tc>
          <w:tcPr>
            <w:tcW w:w="1440" w:type="dxa"/>
            <w:vAlign w:val="center"/>
          </w:tcPr>
          <w:p w14:paraId="6477FEDA">
            <w:pPr>
              <w:spacing w:before="40" w:after="40" w:line="280" w:lineRule="exact"/>
              <w:jc w:val="center"/>
            </w:pPr>
            <w:r>
              <w:rPr>
                <w:rFonts w:ascii="Arial Unicode MS" w:hAnsi="Arial Unicode MS" w:eastAsia="Arial Unicode MS"/>
                <w:b w:val="0"/>
                <w:color w:val="000000"/>
                <w:sz w:val="20"/>
              </w:rPr>
              <w:t>现阶段启动；上海需求明确后进入厂商选型</w:t>
            </w:r>
          </w:p>
        </w:tc>
        <w:tc>
          <w:tcPr>
            <w:tcW w:w="4032" w:type="dxa"/>
            <w:vAlign w:val="center"/>
          </w:tcPr>
          <w:p w14:paraId="4A60D312">
            <w:pPr>
              <w:spacing w:before="40" w:after="40" w:line="280" w:lineRule="exact"/>
            </w:pPr>
            <w:r>
              <w:rPr>
                <w:rFonts w:ascii="Arial Unicode MS" w:hAnsi="Arial Unicode MS" w:eastAsia="Arial Unicode MS"/>
                <w:b w:val="0"/>
                <w:color w:val="000000"/>
                <w:sz w:val="20"/>
              </w:rPr>
              <w:t>评估质量日报去重复、周月报数据源恢复、过程问题共享及工单版本带出。梳理现有及目标流程、责任、主数据、业务模型、默认规则和异常；补齐上海新模式、机加及SMT等工艺和跨厂协同需求，形成选型场景与验收口径。</w:t>
            </w:r>
          </w:p>
        </w:tc>
        <w:tc>
          <w:tcPr>
            <w:tcW w:w="3024" w:type="dxa"/>
            <w:vAlign w:val="center"/>
          </w:tcPr>
          <w:p w14:paraId="3261A497">
            <w:pPr>
              <w:spacing w:before="40" w:after="40" w:line="280" w:lineRule="exact"/>
            </w:pPr>
            <w:r>
              <w:rPr>
                <w:rFonts w:ascii="Arial Unicode MS" w:hAnsi="Arial Unicode MS" w:eastAsia="Arial Unicode MS"/>
                <w:b w:val="0"/>
                <w:color w:val="000000"/>
                <w:sz w:val="20"/>
              </w:rPr>
              <w:t>可复用的流程、模型及规则成果；上海需求基线和选型依据；适用改善项经验证投用。是否引入外部咨询及业务梳理总主责由管理层确认。</w:t>
            </w:r>
          </w:p>
        </w:tc>
      </w:tr>
      <w:tr w14:paraId="6AA65420">
        <w:trPr>
          <w:cantSplit/>
          <w:jc w:val="center"/>
        </w:trPr>
        <w:tc>
          <w:tcPr>
            <w:tcW w:w="1584" w:type="dxa"/>
            <w:shd w:val="clear" w:color="auto" w:fill="F1F5F8"/>
            <w:vAlign w:val="center"/>
          </w:tcPr>
          <w:p w14:paraId="26B7EE37">
            <w:pPr>
              <w:spacing w:before="40" w:after="40" w:line="280" w:lineRule="exact"/>
            </w:pPr>
            <w:r>
              <w:rPr>
                <w:rFonts w:ascii="Arial Unicode MS" w:hAnsi="Arial Unicode MS" w:eastAsia="Arial Unicode MS"/>
                <w:b w:val="0"/>
                <w:color w:val="000000"/>
                <w:sz w:val="20"/>
              </w:rPr>
              <w:t>二期：深圳工厂试点</w:t>
            </w:r>
          </w:p>
        </w:tc>
        <w:tc>
          <w:tcPr>
            <w:tcW w:w="1440" w:type="dxa"/>
            <w:shd w:val="clear" w:color="auto" w:fill="F1F5F8"/>
            <w:vAlign w:val="center"/>
          </w:tcPr>
          <w:p w14:paraId="7A310C1F">
            <w:pPr>
              <w:spacing w:before="40" w:after="40" w:line="280" w:lineRule="exact"/>
              <w:jc w:val="center"/>
            </w:pPr>
            <w:r>
              <w:rPr>
                <w:rFonts w:ascii="Arial Unicode MS" w:hAnsi="Arial Unicode MS" w:eastAsia="Arial Unicode MS"/>
                <w:b w:val="0"/>
                <w:color w:val="000000"/>
                <w:sz w:val="20"/>
              </w:rPr>
              <w:t>上海需求明确、选型完成且试点条件具备后</w:t>
            </w:r>
          </w:p>
        </w:tc>
        <w:tc>
          <w:tcPr>
            <w:tcW w:w="4032" w:type="dxa"/>
            <w:shd w:val="clear" w:color="auto" w:fill="F1F5F8"/>
            <w:vAlign w:val="center"/>
          </w:tcPr>
          <w:p w14:paraId="4B78A497">
            <w:pPr>
              <w:spacing w:before="40" w:after="40" w:line="280" w:lineRule="exact"/>
            </w:pPr>
            <w:r>
              <w:rPr>
                <w:rFonts w:ascii="Arial Unicode MS" w:hAnsi="Arial Unicode MS" w:eastAsia="Arial Unicode MS"/>
                <w:b w:val="0"/>
                <w:color w:val="000000"/>
                <w:sz w:val="20"/>
              </w:rPr>
              <w:t>以装配、测试及必要包装交接解决记录与追溯痛点：任务与实际执行、关键用料、原始检验、测试复测、维修换件及制造履历。衔接ERP、工程、产测和既有审批；培养种子用户，验证厂商及实施商的顾问、集成、异常处理和交付能力。</w:t>
            </w:r>
          </w:p>
        </w:tc>
        <w:tc>
          <w:tcPr>
            <w:tcW w:w="3024" w:type="dxa"/>
            <w:shd w:val="clear" w:color="auto" w:fill="F1F5F8"/>
            <w:vAlign w:val="center"/>
          </w:tcPr>
          <w:p w14:paraId="26C49016">
            <w:pPr>
              <w:spacing w:before="40" w:after="40" w:line="280" w:lineRule="exact"/>
            </w:pPr>
            <w:r>
              <w:rPr>
                <w:rFonts w:ascii="Arial Unicode MS" w:hAnsi="Arial Unicode MS" w:eastAsia="Arial Unicode MS"/>
                <w:b w:val="0"/>
                <w:color w:val="000000"/>
                <w:sz w:val="20"/>
              </w:rPr>
              <w:t>核心记录完整可查、正反追溯可验证；形成业务骨干、配置、接口、数据、培训及验收模板。模板明确适用边界，作为上海建设基础。</w:t>
            </w:r>
          </w:p>
        </w:tc>
      </w:tr>
      <w:tr w14:paraId="19188E16">
        <w:trPr>
          <w:cantSplit/>
          <w:jc w:val="center"/>
        </w:trPr>
        <w:tc>
          <w:tcPr>
            <w:tcW w:w="1584" w:type="dxa"/>
            <w:vAlign w:val="center"/>
          </w:tcPr>
          <w:p w14:paraId="0B18FB4E">
            <w:pPr>
              <w:spacing w:before="40" w:after="40" w:line="280" w:lineRule="exact"/>
            </w:pPr>
            <w:r>
              <w:rPr>
                <w:rFonts w:ascii="Arial Unicode MS" w:hAnsi="Arial Unicode MS" w:eastAsia="Arial Unicode MS"/>
                <w:b w:val="0"/>
                <w:color w:val="000000"/>
                <w:sz w:val="20"/>
              </w:rPr>
              <w:t>三期：上海新工厂</w:t>
            </w:r>
          </w:p>
        </w:tc>
        <w:tc>
          <w:tcPr>
            <w:tcW w:w="1440" w:type="dxa"/>
            <w:vAlign w:val="center"/>
          </w:tcPr>
          <w:p w14:paraId="1FEB60C9">
            <w:pPr>
              <w:spacing w:before="40" w:after="40" w:line="280" w:lineRule="exact"/>
              <w:jc w:val="center"/>
            </w:pPr>
            <w:r>
              <w:rPr>
                <w:rFonts w:ascii="Arial Unicode MS" w:hAnsi="Arial Unicode MS" w:eastAsia="Arial Unicode MS"/>
                <w:b w:val="0"/>
                <w:color w:val="000000"/>
                <w:sz w:val="20"/>
              </w:rPr>
              <w:t>结合建厂及全产线生产启用计划确定</w:t>
            </w:r>
          </w:p>
        </w:tc>
        <w:tc>
          <w:tcPr>
            <w:tcW w:w="4032" w:type="dxa"/>
            <w:vAlign w:val="center"/>
          </w:tcPr>
          <w:p w14:paraId="03CC1E43">
            <w:pPr>
              <w:spacing w:before="40" w:after="40" w:line="280" w:lineRule="exact"/>
            </w:pPr>
            <w:r>
              <w:rPr>
                <w:rFonts w:ascii="Arial Unicode MS" w:hAnsi="Arial Unicode MS" w:eastAsia="Arial Unicode MS"/>
                <w:b w:val="0"/>
                <w:color w:val="000000"/>
                <w:sz w:val="20"/>
              </w:rPr>
              <w:t>面向新生产模式、机加和SMT等新增工艺，扩展工艺路线、用料、生产粒度、过程质量及设备数据；支持多工厂任务、物料、质量与追溯协同，并在可靠数据基础上深化应用。覆盖新工厂全产线，不设置上海生产试点环节。</w:t>
            </w:r>
          </w:p>
        </w:tc>
        <w:tc>
          <w:tcPr>
            <w:tcW w:w="3024" w:type="dxa"/>
            <w:vAlign w:val="center"/>
          </w:tcPr>
          <w:p w14:paraId="3E9328A7">
            <w:pPr>
              <w:spacing w:before="40" w:after="40" w:line="280" w:lineRule="exact"/>
            </w:pPr>
            <w:r>
              <w:rPr>
                <w:rFonts w:ascii="Arial Unicode MS" w:hAnsi="Arial Unicode MS" w:eastAsia="Arial Unicode MS"/>
                <w:b w:val="0"/>
                <w:color w:val="000000"/>
                <w:sz w:val="20"/>
              </w:rPr>
              <w:t>全产线所需流程、系统、接口、主数据及人员准备就绪；共性模板与上海差异均经验证，具备上线及连续运行保障；实现多工厂协同与持续深化。</w:t>
            </w:r>
          </w:p>
        </w:tc>
      </w:tr>
    </w:tbl>
    <w:p w14:paraId="7BB4F67B">
      <w:r>
        <w:rPr>
          <w:rFonts w:ascii="Arial Unicode MS" w:hAnsi="Arial Unicode MS" w:eastAsia="Arial Unicode MS"/>
          <w:color w:val="000000"/>
        </w:rPr>
        <w:t>一期改善项应先核实业务收益、工作量、授权数据源、运行维护及可复用性，再选择实施。流程梳理需形成现状与目标流程、对象及状态模型、规则与异常清单、责任和数据口径、典型场景及验收依据，并覆盖上海未来业务；避免把历史默认做法直接固化为系统规则。选型以已明确的上海需求及深圳验证场景为输入，减少选型后因新厂需求变化引起的重复设计和成本。</w:t>
      </w:r>
    </w:p>
    <w:p w14:paraId="6F5D7E34">
      <w:pPr>
        <w:pStyle w:val="5"/>
      </w:pPr>
      <w:r>
        <w:rPr>
          <w:rFonts w:ascii="Arial Unicode MS" w:hAnsi="Arial Unicode MS" w:eastAsia="Arial Unicode MS"/>
          <w:color w:val="000000"/>
        </w:rPr>
        <w:t>系统与能力投用安排</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088"/>
        <w:gridCol w:w="2664"/>
        <w:gridCol w:w="2664"/>
        <w:gridCol w:w="2664"/>
      </w:tblGrid>
      <w:tr w14:paraId="5F357F14">
        <w:trPr>
          <w:cantSplit/>
          <w:tblHeader/>
          <w:jc w:val="center"/>
        </w:trPr>
        <w:tc>
          <w:tcPr>
            <w:tcW w:w="2088" w:type="dxa"/>
            <w:shd w:val="clear" w:color="auto" w:fill="234A68"/>
            <w:vAlign w:val="center"/>
          </w:tcPr>
          <w:p w14:paraId="64E60D22">
            <w:pPr>
              <w:keepNext/>
              <w:spacing w:before="40" w:after="40" w:line="280" w:lineRule="exact"/>
              <w:jc w:val="center"/>
            </w:pPr>
            <w:r>
              <w:rPr>
                <w:rFonts w:ascii="Arial Unicode MS" w:hAnsi="Arial Unicode MS" w:eastAsia="Arial Unicode MS"/>
                <w:b/>
                <w:color w:val="FFFFFF"/>
                <w:sz w:val="20"/>
              </w:rPr>
              <w:t>系统或能力</w:t>
            </w:r>
          </w:p>
        </w:tc>
        <w:tc>
          <w:tcPr>
            <w:tcW w:w="2664" w:type="dxa"/>
            <w:shd w:val="clear" w:color="auto" w:fill="234A68"/>
            <w:vAlign w:val="center"/>
          </w:tcPr>
          <w:p w14:paraId="52EDFC82">
            <w:pPr>
              <w:keepNext/>
              <w:spacing w:before="40" w:after="40" w:line="280" w:lineRule="exact"/>
              <w:jc w:val="center"/>
              <w:rPr>
                <w:rFonts w:hint="eastAsia" w:eastAsia="Arial Unicode MS"/>
                <w:lang w:eastAsia="zh-CN"/>
              </w:rPr>
            </w:pPr>
            <w:r>
              <w:rPr>
                <w:rFonts w:hint="eastAsia"/>
                <w:b/>
                <w:color w:val="FFFFFF"/>
                <w:sz w:val="20"/>
                <w:lang w:val="en-US" w:eastAsia="zh-CN"/>
              </w:rPr>
              <w:t>一期：先行改善与流程梳理</w:t>
            </w:r>
          </w:p>
        </w:tc>
        <w:tc>
          <w:tcPr>
            <w:tcW w:w="2664" w:type="dxa"/>
            <w:shd w:val="clear" w:color="auto" w:fill="234A68"/>
            <w:vAlign w:val="center"/>
          </w:tcPr>
          <w:p w14:paraId="68F0A6CB">
            <w:pPr>
              <w:keepNext/>
              <w:spacing w:before="40" w:after="40" w:line="280" w:lineRule="exact"/>
              <w:jc w:val="center"/>
              <w:rPr>
                <w:rFonts w:hint="eastAsia" w:eastAsia="Arial Unicode MS"/>
                <w:lang w:eastAsia="zh-CN"/>
              </w:rPr>
            </w:pPr>
            <w:r>
              <w:rPr>
                <w:rFonts w:hint="eastAsia"/>
                <w:b/>
                <w:color w:val="FFFFFF"/>
                <w:sz w:val="20"/>
                <w:lang w:val="en-US" w:eastAsia="zh-CN"/>
              </w:rPr>
              <w:t>二期：深圳工厂试点</w:t>
            </w:r>
          </w:p>
        </w:tc>
        <w:tc>
          <w:tcPr>
            <w:tcW w:w="2664" w:type="dxa"/>
            <w:shd w:val="clear" w:color="auto" w:fill="234A68"/>
            <w:vAlign w:val="center"/>
          </w:tcPr>
          <w:p w14:paraId="1E3FE264">
            <w:pPr>
              <w:keepNext/>
              <w:spacing w:before="40" w:after="40" w:line="280" w:lineRule="exact"/>
              <w:jc w:val="center"/>
              <w:rPr>
                <w:rFonts w:hint="eastAsia" w:eastAsia="Arial Unicode MS"/>
                <w:lang w:eastAsia="zh-CN"/>
              </w:rPr>
            </w:pPr>
            <w:r>
              <w:rPr>
                <w:rFonts w:hint="eastAsia"/>
                <w:b/>
                <w:color w:val="FFFFFF"/>
                <w:sz w:val="20"/>
                <w:lang w:val="en-US" w:eastAsia="zh-CN"/>
              </w:rPr>
              <w:t>三期：上海新工厂</w:t>
            </w:r>
          </w:p>
        </w:tc>
      </w:tr>
      <w:tr w14:paraId="22E76679">
        <w:trPr>
          <w:cantSplit/>
          <w:jc w:val="center"/>
        </w:trPr>
        <w:tc>
          <w:tcPr>
            <w:tcW w:w="2088" w:type="dxa"/>
            <w:vAlign w:val="center"/>
          </w:tcPr>
          <w:p w14:paraId="1FD24086">
            <w:pPr>
              <w:spacing w:before="40" w:after="40" w:line="280" w:lineRule="exact"/>
            </w:pPr>
            <w:r>
              <w:rPr>
                <w:rFonts w:ascii="Arial Unicode MS" w:hAnsi="Arial Unicode MS" w:eastAsia="Arial Unicode MS"/>
                <w:b w:val="0"/>
                <w:color w:val="000000"/>
                <w:sz w:val="20"/>
              </w:rPr>
              <w:t>流程与业务模型</w:t>
            </w:r>
          </w:p>
        </w:tc>
        <w:tc>
          <w:tcPr>
            <w:tcW w:w="2664" w:type="dxa"/>
            <w:vAlign w:val="center"/>
          </w:tcPr>
          <w:p w14:paraId="422A2940">
            <w:pPr>
              <w:spacing w:before="40" w:after="40" w:line="280" w:lineRule="exact"/>
            </w:pPr>
            <w:r>
              <w:rPr>
                <w:rFonts w:ascii="Arial Unicode MS" w:hAnsi="Arial Unicode MS" w:eastAsia="Arial Unicode MS"/>
                <w:b w:val="0"/>
                <w:color w:val="000000"/>
                <w:sz w:val="20"/>
              </w:rPr>
              <w:t>梳理现状和目标流程、规则与异常，明确责任及数据，形成上海需求基线</w:t>
            </w:r>
          </w:p>
        </w:tc>
        <w:tc>
          <w:tcPr>
            <w:tcW w:w="2664" w:type="dxa"/>
            <w:vAlign w:val="center"/>
          </w:tcPr>
          <w:p w14:paraId="5D5C46E6">
            <w:pPr>
              <w:spacing w:before="40" w:after="40" w:line="280" w:lineRule="exact"/>
            </w:pPr>
            <w:r>
              <w:rPr>
                <w:rFonts w:ascii="Arial Unicode MS" w:hAnsi="Arial Unicode MS" w:eastAsia="Arial Unicode MS"/>
                <w:b w:val="0"/>
                <w:color w:val="000000"/>
                <w:sz w:val="20"/>
              </w:rPr>
              <w:t>将已确认规则在核心场景落地，验证可操作性及模板</w:t>
            </w:r>
          </w:p>
        </w:tc>
        <w:tc>
          <w:tcPr>
            <w:tcW w:w="2664" w:type="dxa"/>
            <w:vAlign w:val="center"/>
          </w:tcPr>
          <w:p w14:paraId="1C0EDC7E">
            <w:pPr>
              <w:spacing w:before="40" w:after="40" w:line="280" w:lineRule="exact"/>
            </w:pPr>
            <w:r>
              <w:rPr>
                <w:rFonts w:ascii="Arial Unicode MS" w:hAnsi="Arial Unicode MS" w:eastAsia="Arial Unicode MS"/>
                <w:b w:val="0"/>
                <w:color w:val="000000"/>
                <w:sz w:val="20"/>
              </w:rPr>
              <w:t>补齐新模式和新增工艺差异，验证全产线与跨厂协同</w:t>
            </w:r>
          </w:p>
        </w:tc>
      </w:tr>
      <w:tr w14:paraId="68CEA090">
        <w:trPr>
          <w:cantSplit/>
          <w:jc w:val="center"/>
        </w:trPr>
        <w:tc>
          <w:tcPr>
            <w:tcW w:w="2088" w:type="dxa"/>
            <w:shd w:val="clear" w:color="auto" w:fill="F1F5F8"/>
            <w:vAlign w:val="center"/>
          </w:tcPr>
          <w:p w14:paraId="7E3F6F19">
            <w:pPr>
              <w:spacing w:before="40" w:after="40" w:line="280" w:lineRule="exact"/>
            </w:pPr>
            <w:r>
              <w:rPr>
                <w:rFonts w:ascii="Arial Unicode MS" w:hAnsi="Arial Unicode MS" w:eastAsia="Arial Unicode MS"/>
                <w:b w:val="0"/>
                <w:color w:val="000000"/>
                <w:sz w:val="20"/>
              </w:rPr>
              <w:t>MES制造基础 执行 追溯</w:t>
            </w:r>
          </w:p>
        </w:tc>
        <w:tc>
          <w:tcPr>
            <w:tcW w:w="2664" w:type="dxa"/>
            <w:shd w:val="clear" w:color="auto" w:fill="F1F5F8"/>
            <w:vAlign w:val="center"/>
          </w:tcPr>
          <w:p w14:paraId="0237ADCD">
            <w:pPr>
              <w:spacing w:before="40" w:after="40" w:line="280" w:lineRule="exact"/>
            </w:pPr>
            <w:r>
              <w:rPr>
                <w:rFonts w:ascii="Arial Unicode MS" w:hAnsi="Arial Unicode MS" w:eastAsia="Arial Unicode MS"/>
                <w:b w:val="0"/>
                <w:color w:val="000000"/>
                <w:sz w:val="20"/>
              </w:rPr>
              <w:t>界定核心痛点、采集与追溯对象及验收场景；需求明确后选型</w:t>
            </w:r>
          </w:p>
        </w:tc>
        <w:tc>
          <w:tcPr>
            <w:tcW w:w="2664" w:type="dxa"/>
            <w:shd w:val="clear" w:color="auto" w:fill="F1F5F8"/>
            <w:vAlign w:val="center"/>
          </w:tcPr>
          <w:p w14:paraId="205EF386">
            <w:pPr>
              <w:spacing w:before="40" w:after="40" w:line="280" w:lineRule="exact"/>
            </w:pPr>
            <w:r>
              <w:rPr>
                <w:rFonts w:ascii="Arial Unicode MS" w:hAnsi="Arial Unicode MS" w:eastAsia="Arial Unicode MS"/>
                <w:b w:val="0"/>
                <w:color w:val="000000"/>
                <w:sz w:val="20"/>
              </w:rPr>
              <w:t>优先实施核心记录、采集与追溯，验证实施商能力并培养种子用户</w:t>
            </w:r>
          </w:p>
        </w:tc>
        <w:tc>
          <w:tcPr>
            <w:tcW w:w="2664" w:type="dxa"/>
            <w:shd w:val="clear" w:color="auto" w:fill="F1F5F8"/>
            <w:vAlign w:val="center"/>
          </w:tcPr>
          <w:p w14:paraId="1B2E49CF">
            <w:pPr>
              <w:spacing w:before="40" w:after="40" w:line="280" w:lineRule="exact"/>
            </w:pPr>
            <w:r>
              <w:rPr>
                <w:rFonts w:ascii="Arial Unicode MS" w:hAnsi="Arial Unicode MS" w:eastAsia="Arial Unicode MS"/>
                <w:b w:val="0"/>
                <w:color w:val="000000"/>
                <w:sz w:val="20"/>
              </w:rPr>
              <w:t>复用共性模板，覆盖全产线并扩展新模式和深化能力</w:t>
            </w:r>
          </w:p>
        </w:tc>
      </w:tr>
      <w:tr w14:paraId="666A04C3">
        <w:trPr>
          <w:cantSplit/>
          <w:jc w:val="center"/>
        </w:trPr>
        <w:tc>
          <w:tcPr>
            <w:tcW w:w="2088" w:type="dxa"/>
            <w:vAlign w:val="center"/>
          </w:tcPr>
          <w:p w14:paraId="0C9649E4">
            <w:pPr>
              <w:spacing w:before="40" w:after="40" w:line="280" w:lineRule="exact"/>
            </w:pPr>
            <w:r>
              <w:rPr>
                <w:rFonts w:ascii="Arial Unicode MS" w:hAnsi="Arial Unicode MS" w:eastAsia="Arial Unicode MS"/>
                <w:b w:val="0"/>
                <w:color w:val="000000"/>
                <w:sz w:val="20"/>
              </w:rPr>
              <w:t>ERP 工程PLM及集成</w:t>
            </w:r>
          </w:p>
        </w:tc>
        <w:tc>
          <w:tcPr>
            <w:tcW w:w="2664" w:type="dxa"/>
            <w:vAlign w:val="center"/>
          </w:tcPr>
          <w:p w14:paraId="006144D6">
            <w:pPr>
              <w:spacing w:before="40" w:after="40" w:line="280" w:lineRule="exact"/>
            </w:pPr>
            <w:r>
              <w:rPr>
                <w:rFonts w:ascii="Arial Unicode MS" w:hAnsi="Arial Unicode MS" w:eastAsia="Arial Unicode MS"/>
                <w:b w:val="0"/>
                <w:color w:val="000000"/>
                <w:sz w:val="20"/>
              </w:rPr>
              <w:t>明确系统边界、主数据、事件、失败处理与对账口径</w:t>
            </w:r>
          </w:p>
        </w:tc>
        <w:tc>
          <w:tcPr>
            <w:tcW w:w="2664" w:type="dxa"/>
            <w:vAlign w:val="center"/>
          </w:tcPr>
          <w:p w14:paraId="7BBD3FCD">
            <w:pPr>
              <w:spacing w:before="40" w:after="40" w:line="280" w:lineRule="exact"/>
            </w:pPr>
            <w:r>
              <w:rPr>
                <w:rFonts w:ascii="Arial Unicode MS" w:hAnsi="Arial Unicode MS" w:eastAsia="Arial Unicode MS"/>
                <w:b w:val="0"/>
                <w:color w:val="000000"/>
                <w:sz w:val="20"/>
              </w:rPr>
              <w:t>运行深圳必要接口，验证变更、异常及恢复</w:t>
            </w:r>
          </w:p>
        </w:tc>
        <w:tc>
          <w:tcPr>
            <w:tcW w:w="2664" w:type="dxa"/>
            <w:vAlign w:val="center"/>
          </w:tcPr>
          <w:p w14:paraId="5C62AA06">
            <w:pPr>
              <w:spacing w:before="40" w:after="40" w:line="280" w:lineRule="exact"/>
            </w:pPr>
            <w:r>
              <w:rPr>
                <w:rFonts w:ascii="Arial Unicode MS" w:hAnsi="Arial Unicode MS" w:eastAsia="Arial Unicode MS"/>
                <w:b w:val="0"/>
                <w:color w:val="000000"/>
                <w:sz w:val="20"/>
              </w:rPr>
              <w:t>扩展上海及多厂接口、组织权限和协同规则</w:t>
            </w:r>
          </w:p>
        </w:tc>
      </w:tr>
      <w:tr w14:paraId="718478C2">
        <w:trPr>
          <w:cantSplit/>
          <w:jc w:val="center"/>
        </w:trPr>
        <w:tc>
          <w:tcPr>
            <w:tcW w:w="2088" w:type="dxa"/>
            <w:shd w:val="clear" w:color="auto" w:fill="F1F5F8"/>
            <w:vAlign w:val="center"/>
          </w:tcPr>
          <w:p w14:paraId="133F2A38">
            <w:pPr>
              <w:spacing w:before="40" w:after="40" w:line="280" w:lineRule="exact"/>
            </w:pPr>
            <w:r>
              <w:rPr>
                <w:rFonts w:ascii="Arial Unicode MS" w:hAnsi="Arial Unicode MS" w:eastAsia="Arial Unicode MS"/>
                <w:b w:val="0"/>
                <w:color w:val="000000"/>
                <w:sz w:val="20"/>
              </w:rPr>
              <w:t>测试 设备 检验数据采集</w:t>
            </w:r>
          </w:p>
        </w:tc>
        <w:tc>
          <w:tcPr>
            <w:tcW w:w="2664" w:type="dxa"/>
            <w:shd w:val="clear" w:color="auto" w:fill="F1F5F8"/>
            <w:vAlign w:val="center"/>
          </w:tcPr>
          <w:p w14:paraId="0F3EDADB">
            <w:pPr>
              <w:spacing w:before="40" w:after="40" w:line="280" w:lineRule="exact"/>
            </w:pPr>
            <w:r>
              <w:rPr>
                <w:rFonts w:ascii="Arial Unicode MS" w:hAnsi="Arial Unicode MS" w:eastAsia="Arial Unicode MS"/>
                <w:b w:val="0"/>
                <w:color w:val="000000"/>
                <w:sz w:val="20"/>
              </w:rPr>
              <w:t>核实现有数据源与接口；适用先行改善受控实施</w:t>
            </w:r>
          </w:p>
        </w:tc>
        <w:tc>
          <w:tcPr>
            <w:tcW w:w="2664" w:type="dxa"/>
            <w:shd w:val="clear" w:color="auto" w:fill="F1F5F8"/>
            <w:vAlign w:val="center"/>
          </w:tcPr>
          <w:p w14:paraId="516B7D6E">
            <w:pPr>
              <w:spacing w:before="40" w:after="40" w:line="280" w:lineRule="exact"/>
            </w:pPr>
            <w:r>
              <w:rPr>
                <w:rFonts w:ascii="Arial Unicode MS" w:hAnsi="Arial Unicode MS" w:eastAsia="Arial Unicode MS"/>
                <w:b w:val="0"/>
                <w:color w:val="000000"/>
                <w:sz w:val="20"/>
              </w:rPr>
              <w:t>深圳关键产测优先；规范人工录入及原始检验记录</w:t>
            </w:r>
          </w:p>
        </w:tc>
        <w:tc>
          <w:tcPr>
            <w:tcW w:w="2664" w:type="dxa"/>
            <w:shd w:val="clear" w:color="auto" w:fill="F1F5F8"/>
            <w:vAlign w:val="center"/>
          </w:tcPr>
          <w:p w14:paraId="069A971A">
            <w:pPr>
              <w:spacing w:before="40" w:after="40" w:line="280" w:lineRule="exact"/>
            </w:pPr>
            <w:r>
              <w:rPr>
                <w:rFonts w:ascii="Arial Unicode MS" w:hAnsi="Arial Unicode MS" w:eastAsia="Arial Unicode MS"/>
                <w:b w:val="0"/>
                <w:color w:val="000000"/>
                <w:sz w:val="20"/>
              </w:rPr>
              <w:t>接入新增工艺资源和全产线所需数据，验证完整性与负载</w:t>
            </w:r>
          </w:p>
        </w:tc>
      </w:tr>
      <w:tr w14:paraId="2FE2E00E">
        <w:trPr>
          <w:cantSplit/>
          <w:jc w:val="center"/>
        </w:trPr>
        <w:tc>
          <w:tcPr>
            <w:tcW w:w="2088" w:type="dxa"/>
            <w:vAlign w:val="center"/>
          </w:tcPr>
          <w:p w14:paraId="6863415A">
            <w:pPr>
              <w:spacing w:before="40" w:after="40" w:line="280" w:lineRule="exact"/>
            </w:pPr>
            <w:r>
              <w:rPr>
                <w:rFonts w:ascii="Arial Unicode MS" w:hAnsi="Arial Unicode MS" w:eastAsia="Arial Unicode MS"/>
                <w:b w:val="0"/>
                <w:color w:val="000000"/>
                <w:sz w:val="20"/>
              </w:rPr>
              <w:t>质量控制及运营统计</w:t>
            </w:r>
          </w:p>
        </w:tc>
        <w:tc>
          <w:tcPr>
            <w:tcW w:w="2664" w:type="dxa"/>
            <w:vAlign w:val="center"/>
          </w:tcPr>
          <w:p w14:paraId="679D736B">
            <w:pPr>
              <w:spacing w:before="40" w:after="40" w:line="280" w:lineRule="exact"/>
            </w:pPr>
            <w:r>
              <w:rPr>
                <w:rFonts w:ascii="Arial Unicode MS" w:hAnsi="Arial Unicode MS" w:eastAsia="Arial Unicode MS"/>
                <w:b w:val="0"/>
                <w:color w:val="000000"/>
                <w:sz w:val="20"/>
              </w:rPr>
              <w:t>统一检验、冻结、记录和日报口径，梳理必要改善</w:t>
            </w:r>
          </w:p>
        </w:tc>
        <w:tc>
          <w:tcPr>
            <w:tcW w:w="2664" w:type="dxa"/>
            <w:vAlign w:val="center"/>
          </w:tcPr>
          <w:p w14:paraId="164B6D0A">
            <w:pPr>
              <w:spacing w:before="40" w:after="40" w:line="280" w:lineRule="exact"/>
            </w:pPr>
            <w:r>
              <w:rPr>
                <w:rFonts w:ascii="Arial Unicode MS" w:hAnsi="Arial Unicode MS" w:eastAsia="Arial Unicode MS"/>
                <w:b w:val="0"/>
                <w:color w:val="000000"/>
                <w:sz w:val="20"/>
              </w:rPr>
              <w:t>贯通检验、制造、异常及追溯，日报可复核</w:t>
            </w:r>
          </w:p>
        </w:tc>
        <w:tc>
          <w:tcPr>
            <w:tcW w:w="2664" w:type="dxa"/>
            <w:vAlign w:val="center"/>
          </w:tcPr>
          <w:p w14:paraId="7E38E1C4">
            <w:pPr>
              <w:spacing w:before="40" w:after="40" w:line="280" w:lineRule="exact"/>
            </w:pPr>
            <w:r>
              <w:rPr>
                <w:rFonts w:ascii="Arial Unicode MS" w:hAnsi="Arial Unicode MS" w:eastAsia="Arial Unicode MS"/>
                <w:b w:val="0"/>
                <w:color w:val="000000"/>
                <w:sz w:val="20"/>
              </w:rPr>
              <w:t>支持新增工艺质量与跨厂追溯；按数据条件深化统计和分析</w:t>
            </w:r>
          </w:p>
        </w:tc>
      </w:tr>
      <w:tr w14:paraId="23E22D32">
        <w:trPr>
          <w:cantSplit/>
          <w:jc w:val="center"/>
        </w:trPr>
        <w:tc>
          <w:tcPr>
            <w:tcW w:w="2088" w:type="dxa"/>
            <w:shd w:val="clear" w:color="auto" w:fill="F1F5F8"/>
            <w:vAlign w:val="center"/>
          </w:tcPr>
          <w:p w14:paraId="4191519C">
            <w:pPr>
              <w:spacing w:before="40" w:after="40" w:line="280" w:lineRule="exact"/>
            </w:pPr>
            <w:r>
              <w:rPr>
                <w:rFonts w:ascii="Arial Unicode MS" w:hAnsi="Arial Unicode MS" w:eastAsia="Arial Unicode MS"/>
                <w:b w:val="0"/>
                <w:color w:val="000000"/>
                <w:sz w:val="20"/>
              </w:rPr>
              <w:t>机加 SMT及新生产模式</w:t>
            </w:r>
          </w:p>
        </w:tc>
        <w:tc>
          <w:tcPr>
            <w:tcW w:w="2664" w:type="dxa"/>
            <w:shd w:val="clear" w:color="auto" w:fill="F1F5F8"/>
            <w:vAlign w:val="center"/>
          </w:tcPr>
          <w:p w14:paraId="44504C3E">
            <w:pPr>
              <w:spacing w:before="40" w:after="40" w:line="280" w:lineRule="exact"/>
            </w:pPr>
            <w:r>
              <w:rPr>
                <w:rFonts w:ascii="Arial Unicode MS" w:hAnsi="Arial Unicode MS" w:eastAsia="Arial Unicode MS"/>
                <w:b w:val="0"/>
                <w:color w:val="000000"/>
                <w:sz w:val="20"/>
              </w:rPr>
              <w:t>补齐业务代表与需求，明确模型、场景和边界</w:t>
            </w:r>
          </w:p>
        </w:tc>
        <w:tc>
          <w:tcPr>
            <w:tcW w:w="2664" w:type="dxa"/>
            <w:shd w:val="clear" w:color="auto" w:fill="F1F5F8"/>
            <w:vAlign w:val="center"/>
          </w:tcPr>
          <w:p w14:paraId="2CE1153E">
            <w:pPr>
              <w:spacing w:before="40" w:after="40" w:line="280" w:lineRule="exact"/>
            </w:pPr>
            <w:r>
              <w:rPr>
                <w:rFonts w:ascii="Arial Unicode MS" w:hAnsi="Arial Unicode MS" w:eastAsia="Arial Unicode MS"/>
                <w:b w:val="0"/>
                <w:color w:val="000000"/>
                <w:sz w:val="20"/>
              </w:rPr>
              <w:t>不纳入深圳核心试点；上海差异单独验证</w:t>
            </w:r>
          </w:p>
        </w:tc>
        <w:tc>
          <w:tcPr>
            <w:tcW w:w="2664" w:type="dxa"/>
            <w:shd w:val="clear" w:color="auto" w:fill="F1F5F8"/>
            <w:vAlign w:val="center"/>
          </w:tcPr>
          <w:p w14:paraId="6550506A">
            <w:pPr>
              <w:spacing w:before="40" w:after="40" w:line="280" w:lineRule="exact"/>
            </w:pPr>
            <w:r>
              <w:rPr>
                <w:rFonts w:ascii="Arial Unicode MS" w:hAnsi="Arial Unicode MS" w:eastAsia="Arial Unicode MS"/>
                <w:b w:val="0"/>
                <w:color w:val="000000"/>
                <w:sz w:val="20"/>
              </w:rPr>
              <w:t>按新厂确认需求落实能力；全产线启用前完成差异验证</w:t>
            </w:r>
          </w:p>
        </w:tc>
      </w:tr>
      <w:tr w14:paraId="23E22D32">
        <w:trPr>
          <w:cantSplit/>
          <w:jc w:val="center"/>
        </w:trPr>
        <w:tc>
          <w:tcPr>
            <w:tcW w:w="2088" w:type="dxa"/>
            <w:shd w:val="clear" w:color="auto" w:fill="F1F5F8"/>
            <w:vAlign w:val="center"/>
          </w:tcPr>
          <w:p w14:paraId="4191519C">
            <w:pPr>
              <w:spacing w:before="40" w:after="40" w:line="280" w:lineRule="exact"/>
            </w:pPr>
            <w:r>
              <w:rPr>
                <w:rFonts w:ascii="Arial Unicode MS" w:hAnsi="Arial Unicode MS" w:eastAsia="Arial Unicode MS"/>
                <w:b w:val="0"/>
                <w:color w:val="000000"/>
                <w:sz w:val="20"/>
              </w:rPr>
              <w:t>WMS QMS EAM APS等独立系统</w:t>
            </w:r>
          </w:p>
        </w:tc>
        <w:tc>
          <w:tcPr>
            <w:tcW w:w="2664" w:type="dxa"/>
            <w:shd w:val="clear" w:color="auto" w:fill="F1F5F8"/>
            <w:vAlign w:val="center"/>
          </w:tcPr>
          <w:p w14:paraId="44504C3E">
            <w:pPr>
              <w:spacing w:before="40" w:after="40" w:line="280" w:lineRule="exact"/>
            </w:pPr>
            <w:r>
              <w:rPr>
                <w:rFonts w:ascii="Arial Unicode MS" w:hAnsi="Arial Unicode MS" w:eastAsia="Arial Unicode MS"/>
                <w:b w:val="0"/>
                <w:color w:val="000000"/>
                <w:sz w:val="20"/>
              </w:rPr>
              <w:t>评估能力缺口与边界，不预设全部采购</w:t>
            </w:r>
          </w:p>
        </w:tc>
        <w:tc>
          <w:tcPr>
            <w:tcW w:w="2664" w:type="dxa"/>
            <w:shd w:val="clear" w:color="auto" w:fill="F1F5F8"/>
            <w:vAlign w:val="center"/>
          </w:tcPr>
          <w:p w14:paraId="2CE1153E">
            <w:pPr>
              <w:spacing w:before="40" w:after="40" w:line="280" w:lineRule="exact"/>
            </w:pPr>
            <w:r>
              <w:rPr>
                <w:rFonts w:ascii="Arial Unicode MS" w:hAnsi="Arial Unicode MS" w:eastAsia="Arial Unicode MS"/>
                <w:b w:val="0"/>
                <w:color w:val="000000"/>
                <w:sz w:val="20"/>
              </w:rPr>
              <w:t>保障必要交接，避免挤占核心记录和追溯投入</w:t>
            </w:r>
          </w:p>
        </w:tc>
        <w:tc>
          <w:tcPr>
            <w:tcW w:w="2664" w:type="dxa"/>
            <w:shd w:val="clear" w:color="auto" w:fill="F1F5F8"/>
            <w:vAlign w:val="center"/>
          </w:tcPr>
          <w:p w14:paraId="6550506A">
            <w:pPr>
              <w:spacing w:before="40" w:after="40" w:line="280" w:lineRule="exact"/>
            </w:pPr>
            <w:r>
              <w:rPr>
                <w:rFonts w:ascii="Arial Unicode MS" w:hAnsi="Arial Unicode MS" w:eastAsia="Arial Unicode MS"/>
                <w:b w:val="0"/>
                <w:color w:val="000000"/>
                <w:sz w:val="20"/>
              </w:rPr>
              <w:t>按新厂需求及批准范围协同建设，深化应用以条件具备为前提</w:t>
            </w:r>
          </w:p>
        </w:tc>
      </w:tr>
    </w:tbl>
    <w:p w14:paraId="6E64AF32">
      <w:pPr>
        <w:spacing w:before="20" w:after="20" w:line="120" w:lineRule="auto"/>
      </w:pPr>
    </w:p>
    <w:p w14:paraId="13FBD2E8">
      <w:pPr>
        <w:pStyle w:val="4"/>
        <w:pageBreakBefore w:val="0"/>
      </w:pPr>
      <w:bookmarkStart w:id="20" w:name="phase1"/>
      <w:bookmarkEnd w:id="20"/>
      <w:r>
        <w:rPr>
          <w:rFonts w:ascii="Arial Unicode MS" w:hAnsi="Arial Unicode MS" w:eastAsia="Arial Unicode MS"/>
          <w:b/>
          <w:color w:val="000000"/>
        </w:rPr>
        <w:t>深圳工厂试点范围</w:t>
      </w:r>
    </w:p>
    <w:p w14:paraId="034B3815">
      <w:pPr>
        <w:keepLines/>
      </w:pPr>
      <w:r>
        <w:rPr>
          <w:rFonts w:ascii="Arial Unicode MS" w:hAnsi="Arial Unicode MS" w:eastAsia="Arial Unicode MS"/>
          <w:color w:val="000000"/>
        </w:rPr>
        <w:t>深圳试点以解决记录与追溯的核心痛点为首要目标，在关节装配、测试及必要包装和制造交接中建立可信进度与完整履历。覆盖工程准备、两类派工、在制反馈、关键件与来源、原始检验、测试复测和异常状态，同时培养种子用户、验证拟投入交付团队，形成可复用模板。单辆小车15台容量独立于工单和作业批量；混型维修逐件保持身份。机加与SMT等新增工艺在上海阶段结合确认需求建设，深圳试点投用与旧MES全量退出分别管理。</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1656"/>
        <w:gridCol w:w="4536"/>
        <w:gridCol w:w="3888"/>
      </w:tblGrid>
      <w:tr w14:paraId="2E489213">
        <w:trPr>
          <w:cantSplit/>
          <w:tblHeader/>
          <w:jc w:val="center"/>
        </w:trPr>
        <w:tc>
          <w:tcPr>
            <w:tcW w:w="1656" w:type="dxa"/>
            <w:shd w:val="clear" w:color="auto" w:fill="234A68"/>
            <w:vAlign w:val="center"/>
          </w:tcPr>
          <w:p w14:paraId="509696C4">
            <w:pPr>
              <w:keepNext/>
              <w:spacing w:before="40" w:after="40" w:line="280" w:lineRule="exact"/>
              <w:jc w:val="center"/>
            </w:pPr>
            <w:r>
              <w:rPr>
                <w:rFonts w:ascii="Arial Unicode MS" w:hAnsi="Arial Unicode MS" w:eastAsia="Arial Unicode MS"/>
                <w:b/>
                <w:color w:val="FFFFFF"/>
                <w:sz w:val="20"/>
              </w:rPr>
              <w:t>范围层面</w:t>
            </w:r>
          </w:p>
        </w:tc>
        <w:tc>
          <w:tcPr>
            <w:tcW w:w="4536" w:type="dxa"/>
            <w:shd w:val="clear" w:color="auto" w:fill="234A68"/>
            <w:vAlign w:val="center"/>
          </w:tcPr>
          <w:p w14:paraId="1744F7EA">
            <w:pPr>
              <w:keepNext/>
              <w:spacing w:before="40" w:after="40" w:line="280" w:lineRule="exact"/>
              <w:jc w:val="center"/>
            </w:pPr>
            <w:r>
              <w:rPr>
                <w:rFonts w:ascii="Arial Unicode MS" w:hAnsi="Arial Unicode MS" w:eastAsia="Arial Unicode MS"/>
                <w:b/>
                <w:color w:val="FFFFFF"/>
                <w:sz w:val="20"/>
              </w:rPr>
              <w:t>深圳试点建设内容</w:t>
            </w:r>
          </w:p>
        </w:tc>
        <w:tc>
          <w:tcPr>
            <w:tcW w:w="3888" w:type="dxa"/>
            <w:shd w:val="clear" w:color="auto" w:fill="234A68"/>
            <w:vAlign w:val="center"/>
          </w:tcPr>
          <w:p w14:paraId="3D718BBF">
            <w:pPr>
              <w:keepNext/>
              <w:spacing w:before="40" w:after="40" w:line="280" w:lineRule="exact"/>
              <w:jc w:val="center"/>
            </w:pPr>
            <w:r>
              <w:rPr>
                <w:rFonts w:ascii="Arial Unicode MS" w:hAnsi="Arial Unicode MS" w:eastAsia="Arial Unicode MS"/>
                <w:b/>
                <w:color w:val="FFFFFF"/>
                <w:sz w:val="20"/>
              </w:rPr>
              <w:t>建设边界</w:t>
            </w:r>
          </w:p>
        </w:tc>
      </w:tr>
      <w:tr w14:paraId="5F02AC94">
        <w:trPr>
          <w:cantSplit/>
          <w:jc w:val="center"/>
        </w:trPr>
        <w:tc>
          <w:tcPr>
            <w:tcW w:w="1656" w:type="dxa"/>
            <w:vAlign w:val="center"/>
          </w:tcPr>
          <w:p w14:paraId="29B472E0">
            <w:pPr>
              <w:spacing w:before="40" w:after="40" w:line="280" w:lineRule="exact"/>
            </w:pPr>
            <w:r>
              <w:rPr>
                <w:rFonts w:ascii="Arial Unicode MS" w:hAnsi="Arial Unicode MS" w:eastAsia="Arial Unicode MS"/>
                <w:b w:val="0"/>
                <w:color w:val="000000"/>
                <w:sz w:val="20"/>
              </w:rPr>
              <w:t>产品与流程</w:t>
            </w:r>
          </w:p>
        </w:tc>
        <w:tc>
          <w:tcPr>
            <w:tcW w:w="4536" w:type="dxa"/>
            <w:vAlign w:val="center"/>
          </w:tcPr>
          <w:p w14:paraId="40A7AFD8">
            <w:pPr>
              <w:spacing w:before="40" w:after="40" w:line="280" w:lineRule="exact"/>
            </w:pPr>
            <w:r>
              <w:rPr>
                <w:rFonts w:ascii="Arial Unicode MS" w:hAnsi="Arial Unicode MS" w:eastAsia="Arial Unicode MS"/>
                <w:b w:val="0"/>
                <w:color w:val="000000"/>
                <w:sz w:val="20"/>
              </w:rPr>
              <w:t>深圳试点关节装配、测试及必要包装与制造交接</w:t>
            </w:r>
          </w:p>
        </w:tc>
        <w:tc>
          <w:tcPr>
            <w:tcW w:w="3888" w:type="dxa"/>
            <w:vAlign w:val="center"/>
          </w:tcPr>
          <w:p w14:paraId="1BFA9EB6">
            <w:pPr>
              <w:spacing w:before="40" w:after="40" w:line="280" w:lineRule="exact"/>
            </w:pPr>
            <w:r>
              <w:rPr>
                <w:rFonts w:ascii="Arial Unicode MS" w:hAnsi="Arial Unicode MS" w:eastAsia="Arial Unicode MS"/>
                <w:b w:val="0"/>
                <w:color w:val="000000"/>
                <w:sz w:val="20"/>
              </w:rPr>
              <w:t>深圳试点关节装配、测试及必要包装与交接；机加及SMT等新增工艺在上海阶段按确认需求建设</w:t>
            </w:r>
          </w:p>
        </w:tc>
      </w:tr>
      <w:tr w14:paraId="1C8E7812">
        <w:trPr>
          <w:cantSplit/>
          <w:jc w:val="center"/>
        </w:trPr>
        <w:tc>
          <w:tcPr>
            <w:tcW w:w="1656" w:type="dxa"/>
            <w:shd w:val="clear" w:color="auto" w:fill="F1F5F8"/>
            <w:vAlign w:val="center"/>
          </w:tcPr>
          <w:p w14:paraId="37773CD6">
            <w:pPr>
              <w:spacing w:before="40" w:after="40" w:line="280" w:lineRule="exact"/>
            </w:pPr>
            <w:r>
              <w:rPr>
                <w:rFonts w:ascii="Arial Unicode MS" w:hAnsi="Arial Unicode MS" w:eastAsia="Arial Unicode MS"/>
                <w:b w:val="0"/>
                <w:color w:val="000000"/>
                <w:sz w:val="20"/>
              </w:rPr>
              <w:t>工程及准备</w:t>
            </w:r>
          </w:p>
        </w:tc>
        <w:tc>
          <w:tcPr>
            <w:tcW w:w="4536" w:type="dxa"/>
            <w:shd w:val="clear" w:color="auto" w:fill="F1F5F8"/>
            <w:vAlign w:val="center"/>
          </w:tcPr>
          <w:p w14:paraId="5279FE6A">
            <w:pPr>
              <w:spacing w:before="40" w:after="40" w:line="280" w:lineRule="exact"/>
            </w:pPr>
            <w:r>
              <w:rPr>
                <w:rFonts w:ascii="Arial Unicode MS" w:hAnsi="Arial Unicode MS" w:eastAsia="Arial Unicode MS"/>
                <w:b w:val="0"/>
                <w:color w:val="000000"/>
                <w:sz w:val="20"/>
              </w:rPr>
              <w:t>有效用料/路线、SOP对象关联、交付包及首产通知</w:t>
            </w:r>
          </w:p>
        </w:tc>
        <w:tc>
          <w:tcPr>
            <w:tcW w:w="3888" w:type="dxa"/>
            <w:shd w:val="clear" w:color="auto" w:fill="F1F5F8"/>
            <w:vAlign w:val="center"/>
          </w:tcPr>
          <w:p w14:paraId="6A85E2F8">
            <w:pPr>
              <w:spacing w:before="40" w:after="40" w:line="280" w:lineRule="exact"/>
            </w:pPr>
            <w:r>
              <w:rPr>
                <w:rFonts w:ascii="Arial Unicode MS" w:hAnsi="Arial Unicode MS" w:eastAsia="Arial Unicode MS"/>
                <w:b w:val="0"/>
                <w:color w:val="000000"/>
                <w:sz w:val="20"/>
              </w:rPr>
              <w:t>工程批准保持原有权威源，MES记录实际采用依据</w:t>
            </w:r>
          </w:p>
        </w:tc>
      </w:tr>
      <w:tr w14:paraId="7CBB9FF3">
        <w:trPr>
          <w:cantSplit/>
          <w:jc w:val="center"/>
        </w:trPr>
        <w:tc>
          <w:tcPr>
            <w:tcW w:w="1656" w:type="dxa"/>
            <w:vAlign w:val="center"/>
          </w:tcPr>
          <w:p w14:paraId="28BD7373">
            <w:pPr>
              <w:spacing w:before="40" w:after="40" w:line="280" w:lineRule="exact"/>
            </w:pPr>
            <w:r>
              <w:rPr>
                <w:rFonts w:ascii="Arial Unicode MS" w:hAnsi="Arial Unicode MS" w:eastAsia="Arial Unicode MS"/>
                <w:b w:val="0"/>
                <w:color w:val="000000"/>
                <w:sz w:val="20"/>
              </w:rPr>
              <w:t>生产执行</w:t>
            </w:r>
          </w:p>
        </w:tc>
        <w:tc>
          <w:tcPr>
            <w:tcW w:w="4536" w:type="dxa"/>
            <w:vAlign w:val="center"/>
          </w:tcPr>
          <w:p w14:paraId="5E65AF1E">
            <w:pPr>
              <w:spacing w:before="40" w:after="40" w:line="280" w:lineRule="exact"/>
            </w:pPr>
            <w:r>
              <w:rPr>
                <w:rFonts w:ascii="Arial Unicode MS" w:hAnsi="Arial Unicode MS" w:eastAsia="Arial Unicode MS"/>
                <w:b w:val="0"/>
                <w:color w:val="000000"/>
                <w:sz w:val="20"/>
              </w:rPr>
              <w:t>型号数量与载具派工、工位在制及余量、部分完成、换车跨线、异常与岗位承接</w:t>
            </w:r>
          </w:p>
        </w:tc>
        <w:tc>
          <w:tcPr>
            <w:tcW w:w="3888" w:type="dxa"/>
            <w:vAlign w:val="center"/>
          </w:tcPr>
          <w:p w14:paraId="0CE8A559">
            <w:pPr>
              <w:spacing w:before="40" w:after="40" w:line="280" w:lineRule="exact"/>
            </w:pPr>
            <w:r>
              <w:rPr>
                <w:rFonts w:ascii="Arial Unicode MS" w:hAnsi="Arial Unicode MS" w:eastAsia="Arial Unicode MS"/>
                <w:b w:val="0"/>
                <w:color w:val="000000"/>
                <w:sz w:val="20"/>
              </w:rPr>
              <w:t>按批准灵活规则记录实际，保留单件身份；不含APS最优排程</w:t>
            </w:r>
          </w:p>
        </w:tc>
      </w:tr>
      <w:tr w14:paraId="2440C6B7">
        <w:trPr>
          <w:cantSplit/>
          <w:jc w:val="center"/>
        </w:trPr>
        <w:tc>
          <w:tcPr>
            <w:tcW w:w="1656" w:type="dxa"/>
            <w:shd w:val="clear" w:color="auto" w:fill="F1F5F8"/>
            <w:vAlign w:val="center"/>
          </w:tcPr>
          <w:p w14:paraId="59E319CB">
            <w:pPr>
              <w:spacing w:before="40" w:after="40" w:line="280" w:lineRule="exact"/>
            </w:pPr>
            <w:r>
              <w:rPr>
                <w:rFonts w:ascii="Arial Unicode MS" w:hAnsi="Arial Unicode MS" w:eastAsia="Arial Unicode MS"/>
                <w:b w:val="0"/>
                <w:color w:val="000000"/>
                <w:sz w:val="20"/>
              </w:rPr>
              <w:t>产品及质量记录</w:t>
            </w:r>
          </w:p>
        </w:tc>
        <w:tc>
          <w:tcPr>
            <w:tcW w:w="4536" w:type="dxa"/>
            <w:shd w:val="clear" w:color="auto" w:fill="F1F5F8"/>
            <w:vAlign w:val="center"/>
          </w:tcPr>
          <w:p w14:paraId="115C07A4">
            <w:pPr>
              <w:spacing w:before="40" w:after="40" w:line="280" w:lineRule="exact"/>
            </w:pPr>
            <w:r>
              <w:rPr>
                <w:rFonts w:ascii="Arial Unicode MS" w:hAnsi="Arial Unicode MS" w:eastAsia="Arial Unicode MS"/>
                <w:b w:val="0"/>
                <w:color w:val="000000"/>
                <w:sz w:val="20"/>
              </w:rPr>
              <w:t>关键件/批次与换件历史、原始检验明细、自动测试/复测、质量限制、电子报告及图片</w:t>
            </w:r>
          </w:p>
        </w:tc>
        <w:tc>
          <w:tcPr>
            <w:tcW w:w="3888" w:type="dxa"/>
            <w:shd w:val="clear" w:color="auto" w:fill="F1F5F8"/>
            <w:vAlign w:val="center"/>
          </w:tcPr>
          <w:p w14:paraId="3065161C">
            <w:pPr>
              <w:spacing w:before="40" w:after="40" w:line="280" w:lineRule="exact"/>
            </w:pPr>
            <w:r>
              <w:rPr>
                <w:rFonts w:ascii="Arial Unicode MS" w:hAnsi="Arial Unicode MS" w:eastAsia="Arial Unicode MS"/>
                <w:b w:val="0"/>
                <w:color w:val="000000"/>
                <w:sz w:val="20"/>
              </w:rPr>
              <w:t>试点必要检验电子化纳入；复用ERP/飞书判定及评审，产测软件保留控制；完整独立QMS另行评价</w:t>
            </w:r>
          </w:p>
        </w:tc>
      </w:tr>
      <w:tr w14:paraId="7E4BC8BF">
        <w:trPr>
          <w:cantSplit/>
          <w:jc w:val="center"/>
        </w:trPr>
        <w:tc>
          <w:tcPr>
            <w:tcW w:w="1656" w:type="dxa"/>
            <w:vAlign w:val="center"/>
          </w:tcPr>
          <w:p w14:paraId="5FD7E2FD">
            <w:pPr>
              <w:spacing w:before="40" w:after="40" w:line="280" w:lineRule="exact"/>
            </w:pPr>
            <w:r>
              <w:rPr>
                <w:rFonts w:ascii="Arial Unicode MS" w:hAnsi="Arial Unicode MS" w:eastAsia="Arial Unicode MS"/>
                <w:b w:val="0"/>
                <w:color w:val="000000"/>
                <w:sz w:val="20"/>
              </w:rPr>
              <w:t>物料仓储与交接</w:t>
            </w:r>
          </w:p>
        </w:tc>
        <w:tc>
          <w:tcPr>
            <w:tcW w:w="4536" w:type="dxa"/>
            <w:vAlign w:val="center"/>
          </w:tcPr>
          <w:p w14:paraId="0B929122">
            <w:pPr>
              <w:spacing w:before="40" w:after="40" w:line="280" w:lineRule="exact"/>
            </w:pPr>
            <w:r>
              <w:rPr>
                <w:rFonts w:ascii="Arial Unicode MS" w:hAnsi="Arial Unicode MS" w:eastAsia="Arial Unicode MS"/>
                <w:b w:val="0"/>
                <w:color w:val="000000"/>
                <w:sz w:val="20"/>
              </w:rPr>
              <w:t>实际领退补、客户配置、轻量位置、包装收库与交运事件</w:t>
            </w:r>
          </w:p>
        </w:tc>
        <w:tc>
          <w:tcPr>
            <w:tcW w:w="3888" w:type="dxa"/>
            <w:vAlign w:val="center"/>
          </w:tcPr>
          <w:p w14:paraId="06B8D1EA">
            <w:pPr>
              <w:spacing w:before="40" w:after="40" w:line="280" w:lineRule="exact"/>
            </w:pPr>
            <w:r>
              <w:rPr>
                <w:rFonts w:ascii="Arial Unicode MS" w:hAnsi="Arial Unicode MS" w:eastAsia="Arial Unicode MS"/>
                <w:b w:val="0"/>
                <w:color w:val="000000"/>
                <w:sz w:val="20"/>
              </w:rPr>
              <w:t>ERP保持账务权威；完整WMS和自动化单独评价</w:t>
            </w:r>
          </w:p>
        </w:tc>
      </w:tr>
      <w:tr w14:paraId="36A8007A">
        <w:trPr>
          <w:cantSplit/>
          <w:jc w:val="center"/>
        </w:trPr>
        <w:tc>
          <w:tcPr>
            <w:tcW w:w="1656" w:type="dxa"/>
            <w:shd w:val="clear" w:color="auto" w:fill="F1F5F8"/>
            <w:vAlign w:val="center"/>
          </w:tcPr>
          <w:p w14:paraId="6343F522">
            <w:pPr>
              <w:spacing w:before="40" w:after="40" w:line="280" w:lineRule="exact"/>
            </w:pPr>
            <w:r>
              <w:rPr>
                <w:rFonts w:ascii="Arial Unicode MS" w:hAnsi="Arial Unicode MS" w:eastAsia="Arial Unicode MS"/>
                <w:b w:val="0"/>
                <w:color w:val="000000"/>
                <w:sz w:val="20"/>
              </w:rPr>
              <w:t>接口与运行保障</w:t>
            </w:r>
          </w:p>
        </w:tc>
        <w:tc>
          <w:tcPr>
            <w:tcW w:w="4536" w:type="dxa"/>
            <w:shd w:val="clear" w:color="auto" w:fill="F1F5F8"/>
            <w:vAlign w:val="center"/>
          </w:tcPr>
          <w:p w14:paraId="795ED6A9">
            <w:pPr>
              <w:spacing w:before="40" w:after="40" w:line="280" w:lineRule="exact"/>
            </w:pPr>
            <w:r>
              <w:rPr>
                <w:rFonts w:ascii="Arial Unicode MS" w:hAnsi="Arial Unicode MS" w:eastAsia="Arial Unicode MS"/>
                <w:b w:val="0"/>
                <w:color w:val="000000"/>
                <w:sz w:val="20"/>
              </w:rPr>
              <w:t>生命周期接口、对账、迁移历史访问、权限审计及恢复</w:t>
            </w:r>
          </w:p>
        </w:tc>
        <w:tc>
          <w:tcPr>
            <w:tcW w:w="3888" w:type="dxa"/>
            <w:shd w:val="clear" w:color="auto" w:fill="F1F5F8"/>
            <w:vAlign w:val="center"/>
          </w:tcPr>
          <w:p w14:paraId="081BA156">
            <w:pPr>
              <w:spacing w:before="40" w:after="40" w:line="280" w:lineRule="exact"/>
            </w:pPr>
            <w:r>
              <w:rPr>
                <w:rFonts w:ascii="Arial Unicode MS" w:hAnsi="Arial Unicode MS" w:eastAsia="Arial Unicode MS"/>
                <w:b w:val="0"/>
                <w:color w:val="000000"/>
                <w:sz w:val="20"/>
              </w:rPr>
              <w:t>试点按范围切换，旧系统退出以连续运行及历史可用为条件</w:t>
            </w:r>
          </w:p>
        </w:tc>
      </w:tr>
      <w:tr w14:paraId="558F0FDD">
        <w:trPr>
          <w:cantSplit/>
          <w:jc w:val="center"/>
        </w:trPr>
        <w:tc>
          <w:tcPr>
            <w:tcW w:w="1656" w:type="dxa"/>
            <w:vAlign w:val="center"/>
          </w:tcPr>
          <w:p w14:paraId="064BA45B">
            <w:pPr>
              <w:spacing w:before="40" w:after="40" w:line="280" w:lineRule="exact"/>
            </w:pPr>
            <w:r>
              <w:rPr>
                <w:rFonts w:ascii="Arial Unicode MS" w:hAnsi="Arial Unicode MS" w:eastAsia="Arial Unicode MS"/>
                <w:b w:val="0"/>
                <w:color w:val="000000"/>
                <w:sz w:val="20"/>
              </w:rPr>
              <w:t>基础统计</w:t>
            </w:r>
          </w:p>
        </w:tc>
        <w:tc>
          <w:tcPr>
            <w:tcW w:w="4536" w:type="dxa"/>
            <w:vAlign w:val="center"/>
          </w:tcPr>
          <w:p w14:paraId="0EC09C0F">
            <w:pPr>
              <w:spacing w:before="40" w:after="40" w:line="280" w:lineRule="exact"/>
            </w:pPr>
            <w:r>
              <w:rPr>
                <w:rFonts w:ascii="Arial Unicode MS" w:hAnsi="Arial Unicode MS" w:eastAsia="Arial Unicode MS"/>
                <w:b w:val="0"/>
                <w:color w:val="000000"/>
                <w:sz w:val="20"/>
              </w:rPr>
              <w:t>复用事件形成必要生产/检验日报、在制及不良查询</w:t>
            </w:r>
          </w:p>
        </w:tc>
        <w:tc>
          <w:tcPr>
            <w:tcW w:w="3888" w:type="dxa"/>
            <w:vAlign w:val="center"/>
          </w:tcPr>
          <w:p w14:paraId="31826496">
            <w:pPr>
              <w:spacing w:before="40" w:after="40" w:line="280" w:lineRule="exact"/>
            </w:pPr>
            <w:r>
              <w:rPr>
                <w:rFonts w:ascii="Arial Unicode MS" w:hAnsi="Arial Unicode MS" w:eastAsia="Arial Unicode MS"/>
                <w:b w:val="0"/>
                <w:color w:val="000000"/>
                <w:sz w:val="20"/>
              </w:rPr>
              <w:t>标准工作量和实际工时分层，周月报按批准口径；完整绩效与BI另评</w:t>
            </w:r>
          </w:p>
        </w:tc>
      </w:tr>
    </w:tbl>
    <w:p w14:paraId="03214AAD">
      <w:pPr>
        <w:spacing w:before="20" w:after="20" w:line="120" w:lineRule="auto"/>
      </w:pPr>
    </w:p>
    <w:p w14:paraId="5C890EB1">
      <w:pPr>
        <w:pStyle w:val="4"/>
        <w:pageBreakBefore w:val="0"/>
      </w:pPr>
      <w:r>
        <w:rPr>
          <w:rFonts w:ascii="Arial Unicode MS" w:hAnsi="Arial Unicode MS" w:eastAsia="Arial Unicode MS"/>
          <w:b/>
          <w:color w:val="000000"/>
        </w:rPr>
        <w:t>业务治理与配套投入</w:t>
      </w:r>
    </w:p>
    <w:p w14:paraId="19CFF16F">
      <w:r>
        <w:rPr>
          <w:rFonts w:ascii="Arial Unicode MS" w:hAnsi="Arial Unicode MS" w:eastAsia="Arial Unicode MS"/>
          <w:color w:val="000000"/>
        </w:rPr>
        <w:t>业务梳理应由业务侧承担总体主责，具体牵头部门及负责人由管理层明确。按现有职责，AR5协调制造业务，AR2及AR562衔接工程依据，AR51衔接任务，AR53及AR54衔接物料，AR56及AR6衔接制造执行和质量；AR8提供应用、集成、数据及运行保障支持。跨部门流程、业务模型、规则及验收由相应业务负责人确认，IT和供应商提供技术与方法支持。</w:t>
      </w:r>
    </w:p>
    <w:p w14:paraId="59CEB785">
      <w:r>
        <w:rPr>
          <w:rFonts w:ascii="Arial Unicode MS" w:hAnsi="Arial Unicode MS" w:eastAsia="Arial Unicode MS"/>
          <w:color w:val="000000"/>
        </w:rPr>
        <w:t>建议本次讨论确认三项事项：是否同意上述三期建设规划；是否在流程梳理阶段引入外部专家或咨询支持；业务梳理由哪个部门及负责人承担总体主责。若引入外部支持，宜围绕流程与模型方法、新工艺场景评审、需求完整性和内部能力培养形成明确交付，业务规则及范围决策仍由企业业务侧负责。先行改善复用批准数据源及统一标识，完整专业系统和自动化按需求另行评价。</w:t>
      </w:r>
    </w:p>
    <w:p w14:paraId="338E1D8A">
      <w:pPr>
        <w:pStyle w:val="3"/>
        <w:pageBreakBefore/>
      </w:pPr>
      <w:bookmarkStart w:id="21" w:name="ch6"/>
      <w:r>
        <w:rPr>
          <w:rFonts w:ascii="Arial Unicode MS" w:hAnsi="Arial Unicode MS" w:eastAsia="Arial Unicode MS"/>
          <w:b/>
          <w:color w:val="000000"/>
        </w:rPr>
        <w:t>第六章 高层级风险预告</w:t>
      </w:r>
      <w:bookmarkEnd w:id="21"/>
    </w:p>
    <w:p w14:paraId="256B5EA0">
      <w:r>
        <w:rPr>
          <w:rFonts w:ascii="Arial Unicode MS" w:hAnsi="Arial Unicode MS" w:eastAsia="Arial Unicode MS"/>
          <w:color w:val="000000"/>
        </w:rPr>
        <w:t>高层级风险围绕三期目标、流程与模型能力、新厂业务完整性、业务投入及长期运行进行管理。上海新工厂按全产线生产要求建设，无生产试点环节；应充分利用深圳验证共性能力，并在上海上线前完成差异场景、接口、负载及连续运行验证。人员及供应商能力不足按触发条件和可能影响预告。</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2232"/>
        <w:gridCol w:w="3816"/>
        <w:gridCol w:w="4032"/>
      </w:tblGrid>
      <w:tr w14:paraId="5B7DD60F">
        <w:trPr>
          <w:cantSplit/>
          <w:tblHeader/>
          <w:jc w:val="center"/>
        </w:trPr>
        <w:tc>
          <w:tcPr>
            <w:tcW w:w="2232" w:type="dxa"/>
            <w:shd w:val="clear" w:color="auto" w:fill="234A68"/>
            <w:vAlign w:val="center"/>
          </w:tcPr>
          <w:p w14:paraId="76F498EC">
            <w:pPr>
              <w:keepNext/>
              <w:spacing w:before="40" w:after="40" w:line="280" w:lineRule="exact"/>
              <w:jc w:val="center"/>
            </w:pPr>
            <w:r>
              <w:rPr>
                <w:rFonts w:ascii="Arial Unicode MS" w:hAnsi="Arial Unicode MS" w:eastAsia="Arial Unicode MS"/>
                <w:b/>
                <w:color w:val="FFFFFF"/>
                <w:sz w:val="20"/>
              </w:rPr>
              <w:t>高层级风险</w:t>
            </w:r>
          </w:p>
        </w:tc>
        <w:tc>
          <w:tcPr>
            <w:tcW w:w="3816" w:type="dxa"/>
            <w:shd w:val="clear" w:color="auto" w:fill="234A68"/>
            <w:vAlign w:val="center"/>
          </w:tcPr>
          <w:p w14:paraId="52BAA4E2">
            <w:pPr>
              <w:keepNext/>
              <w:spacing w:before="40" w:after="40" w:line="280" w:lineRule="exact"/>
              <w:jc w:val="center"/>
            </w:pPr>
            <w:r>
              <w:rPr>
                <w:rFonts w:ascii="Arial Unicode MS" w:hAnsi="Arial Unicode MS" w:eastAsia="Arial Unicode MS"/>
                <w:b/>
                <w:color w:val="FFFFFF"/>
                <w:sz w:val="20"/>
              </w:rPr>
              <w:t>触发条件及影响</w:t>
            </w:r>
          </w:p>
        </w:tc>
        <w:tc>
          <w:tcPr>
            <w:tcW w:w="4032" w:type="dxa"/>
            <w:shd w:val="clear" w:color="auto" w:fill="234A68"/>
            <w:vAlign w:val="center"/>
          </w:tcPr>
          <w:p w14:paraId="217C3462">
            <w:pPr>
              <w:keepNext/>
              <w:spacing w:before="40" w:after="40" w:line="280" w:lineRule="exact"/>
              <w:jc w:val="center"/>
            </w:pPr>
            <w:r>
              <w:rPr>
                <w:rFonts w:ascii="Arial Unicode MS" w:hAnsi="Arial Unicode MS" w:eastAsia="Arial Unicode MS"/>
                <w:b/>
                <w:color w:val="FFFFFF"/>
                <w:sz w:val="20"/>
              </w:rPr>
              <w:t>应对方向</w:t>
            </w:r>
          </w:p>
        </w:tc>
      </w:tr>
      <w:tr w14:paraId="17874F27">
        <w:trPr>
          <w:cantSplit/>
          <w:jc w:val="center"/>
        </w:trPr>
        <w:tc>
          <w:tcPr>
            <w:tcW w:w="2232" w:type="dxa"/>
            <w:vAlign w:val="center"/>
          </w:tcPr>
          <w:p w14:paraId="55F08C5C">
            <w:pPr>
              <w:spacing w:before="40" w:after="40" w:line="280" w:lineRule="exact"/>
            </w:pPr>
            <w:r>
              <w:rPr>
                <w:rFonts w:ascii="Arial Unicode MS" w:hAnsi="Arial Unicode MS" w:eastAsia="Arial Unicode MS"/>
                <w:b w:val="0"/>
                <w:color w:val="000000"/>
                <w:sz w:val="20"/>
              </w:rPr>
              <w:t>G01流程主责缺失与基础治理风险</w:t>
            </w:r>
          </w:p>
        </w:tc>
        <w:tc>
          <w:tcPr>
            <w:tcW w:w="3816" w:type="dxa"/>
            <w:vAlign w:val="center"/>
          </w:tcPr>
          <w:p w14:paraId="6F3CD735">
            <w:pPr>
              <w:spacing w:before="40" w:after="40" w:line="280" w:lineRule="exact"/>
            </w:pPr>
            <w:r>
              <w:rPr>
                <w:rFonts w:ascii="Arial Unicode MS" w:hAnsi="Arial Unicode MS" w:eastAsia="Arial Unicode MS"/>
                <w:b w:val="0"/>
                <w:color w:val="000000"/>
                <w:sz w:val="20"/>
              </w:rPr>
              <w:t>跨部门流程尚未明确端到端主责，流程、数据定义、业务规则和校验要求缺少统一的梳理、确认与维护机制。若以现有默认做法直接建设，可能把不一致或不完整规则固化，使跨部门衔接、数据有效性及业务控制问题持续存在，并引发需求反复。</w:t>
            </w:r>
          </w:p>
        </w:tc>
        <w:tc>
          <w:tcPr>
            <w:tcW w:w="4032" w:type="dxa"/>
            <w:vAlign w:val="center"/>
          </w:tcPr>
          <w:p w14:paraId="0C17585A">
            <w:pPr>
              <w:spacing w:before="40" w:after="40" w:line="280" w:lineRule="exact"/>
            </w:pPr>
            <w:r>
              <w:rPr>
                <w:rFonts w:ascii="Arial Unicode MS" w:hAnsi="Arial Unicode MS" w:eastAsia="Arial Unicode MS"/>
                <w:b w:val="0"/>
                <w:color w:val="000000"/>
                <w:sz w:val="20"/>
              </w:rPr>
              <w:t>明确流程主责方及其协调、规则确认和变更权限；由其组织相关业务方统一流程边界、数据口径、业务规则、校验条件和异常路径，形成受控成果并落实维护责任。系统设计与变更以业务确认结果为依据，运行后持续核验和改进。</w:t>
            </w:r>
          </w:p>
        </w:tc>
      </w:tr>
      <w:tr w14:paraId="5B182CAE">
        <w:trPr>
          <w:cantSplit/>
          <w:jc w:val="center"/>
        </w:trPr>
        <w:tc>
          <w:tcPr>
            <w:tcW w:w="2232" w:type="dxa"/>
            <w:shd w:val="clear" w:color="auto" w:fill="F1F5F8"/>
            <w:vAlign w:val="center"/>
          </w:tcPr>
          <w:p w14:paraId="7CC29F85">
            <w:pPr>
              <w:spacing w:before="40" w:after="40" w:line="280" w:lineRule="exact"/>
            </w:pPr>
            <w:r>
              <w:rPr>
                <w:rFonts w:ascii="Arial Unicode MS" w:hAnsi="Arial Unicode MS" w:eastAsia="Arial Unicode MS"/>
                <w:b w:val="0"/>
                <w:color w:val="000000"/>
                <w:sz w:val="20"/>
              </w:rPr>
              <w:t>G0</w:t>
            </w:r>
            <w:r>
              <w:rPr>
                <w:rFonts w:hint="eastAsia"/>
                <w:b w:val="0"/>
                <w:color w:val="000000"/>
                <w:sz w:val="20"/>
                <w:lang w:val="en-US" w:eastAsia="zh-CN"/>
              </w:rPr>
              <w:t>3</w:t>
            </w:r>
            <w:r>
              <w:rPr>
                <w:rFonts w:ascii="Arial Unicode MS" w:hAnsi="Arial Unicode MS" w:eastAsia="Arial Unicode MS"/>
                <w:b w:val="0"/>
                <w:color w:val="000000"/>
                <w:sz w:val="20"/>
              </w:rPr>
              <w:t>场地与实物流转约束</w:t>
            </w:r>
          </w:p>
        </w:tc>
        <w:tc>
          <w:tcPr>
            <w:tcW w:w="3816" w:type="dxa"/>
            <w:shd w:val="clear" w:color="auto" w:fill="F1F5F8"/>
            <w:vAlign w:val="center"/>
          </w:tcPr>
          <w:p w14:paraId="626589D3">
            <w:pPr>
              <w:spacing w:before="40" w:after="40" w:line="280" w:lineRule="exact"/>
            </w:pPr>
            <w:r>
              <w:rPr>
                <w:rFonts w:ascii="Arial Unicode MS" w:hAnsi="Arial Unicode MS" w:eastAsia="Arial Unicode MS"/>
                <w:b w:val="0"/>
                <w:color w:val="000000"/>
                <w:sz w:val="20"/>
              </w:rPr>
              <w:t>场地、位置、标识、包装及环境条件不足时，扫码、库位或物流自动化难持续执行，投入效果受限。</w:t>
            </w:r>
          </w:p>
        </w:tc>
        <w:tc>
          <w:tcPr>
            <w:tcW w:w="4032" w:type="dxa"/>
            <w:shd w:val="clear" w:color="auto" w:fill="F1F5F8"/>
            <w:vAlign w:val="center"/>
          </w:tcPr>
          <w:p w14:paraId="19DE6C18">
            <w:pPr>
              <w:spacing w:before="40" w:after="40" w:line="280" w:lineRule="exact"/>
            </w:pPr>
            <w:r>
              <w:rPr>
                <w:rFonts w:ascii="Arial Unicode MS" w:hAnsi="Arial Unicode MS" w:eastAsia="Arial Unicode MS"/>
                <w:b w:val="0"/>
                <w:color w:val="000000"/>
                <w:sz w:val="20"/>
              </w:rPr>
              <w:t>将存量清理、特殊事务及环境治理作为配套；启用前核实可执行储位、可维护标签及真实交接，软件不能替代物理条件。</w:t>
            </w:r>
          </w:p>
        </w:tc>
      </w:tr>
      <w:tr w14:paraId="3D2737FA">
        <w:trPr>
          <w:cantSplit/>
          <w:jc w:val="center"/>
        </w:trPr>
        <w:tc>
          <w:tcPr>
            <w:tcW w:w="2232" w:type="dxa"/>
            <w:shd w:val="clear"/>
            <w:vAlign w:val="center"/>
          </w:tcPr>
          <w:p w14:paraId="1D7859B9">
            <w:pPr>
              <w:spacing w:before="40" w:after="40" w:line="280" w:lineRule="exact"/>
              <w:rPr>
                <w:rFonts w:ascii="Arial Unicode MS" w:hAnsi="Arial Unicode MS" w:eastAsia="Arial Unicode MS" w:cstheme="minorBidi"/>
                <w:color w:val="000000"/>
                <w:sz w:val="22"/>
                <w:szCs w:val="22"/>
                <w:lang w:val="en-US" w:eastAsia="en-US" w:bidi="ar-SA"/>
              </w:rPr>
            </w:pPr>
            <w:r>
              <w:rPr>
                <w:rFonts w:ascii="Arial Unicode MS" w:hAnsi="Arial Unicode MS" w:eastAsia="Arial Unicode MS"/>
                <w:b w:val="0"/>
                <w:color w:val="000000"/>
                <w:sz w:val="20"/>
              </w:rPr>
              <w:t>G04订单波动制约多日生产计划</w:t>
            </w:r>
          </w:p>
        </w:tc>
        <w:tc>
          <w:tcPr>
            <w:tcW w:w="3816" w:type="dxa"/>
            <w:shd w:val="clear"/>
            <w:vAlign w:val="center"/>
          </w:tcPr>
          <w:p w14:paraId="6070574B">
            <w:pPr>
              <w:spacing w:before="40" w:after="40" w:line="280" w:lineRule="exact"/>
              <w:rPr>
                <w:rFonts w:ascii="Arial Unicode MS" w:hAnsi="Arial Unicode MS" w:eastAsia="Arial Unicode MS" w:cstheme="minorBidi"/>
                <w:color w:val="000000"/>
                <w:sz w:val="22"/>
                <w:szCs w:val="22"/>
                <w:lang w:val="en-US" w:eastAsia="en-US" w:bidi="ar-SA"/>
              </w:rPr>
            </w:pPr>
            <w:r>
              <w:rPr>
                <w:rFonts w:ascii="Arial Unicode MS" w:hAnsi="Arial Unicode MS" w:eastAsia="Arial Unicode MS"/>
                <w:b w:val="0"/>
                <w:color w:val="000000"/>
                <w:sz w:val="20"/>
              </w:rPr>
              <w:t>订单数量、型号组合及交付需求不稳定，使未来多日任务的需求依据和优先顺序难以稳定，限制多日计划的排出及其持续有效。若缺少滚动更新和调整规则，容易反复重排，造成备料、人员及工序准备与实际需求脱节。</w:t>
            </w:r>
          </w:p>
        </w:tc>
        <w:tc>
          <w:tcPr>
            <w:tcW w:w="4032" w:type="dxa"/>
            <w:shd w:val="clear"/>
            <w:vAlign w:val="center"/>
          </w:tcPr>
          <w:p w14:paraId="429323D9">
            <w:pPr>
              <w:spacing w:before="40" w:after="40" w:line="280" w:lineRule="exact"/>
              <w:rPr>
                <w:rFonts w:ascii="Arial Unicode MS" w:hAnsi="Arial Unicode MS" w:eastAsia="Arial Unicode MS" w:cstheme="minorBidi"/>
                <w:color w:val="000000"/>
                <w:sz w:val="22"/>
                <w:szCs w:val="22"/>
                <w:lang w:val="en-US" w:eastAsia="en-US" w:bidi="ar-SA"/>
              </w:rPr>
            </w:pPr>
            <w:r>
              <w:rPr>
                <w:rFonts w:ascii="Arial Unicode MS" w:hAnsi="Arial Unicode MS" w:eastAsia="Arial Unicode MS"/>
                <w:b w:val="0"/>
                <w:color w:val="000000"/>
                <w:sz w:val="20"/>
              </w:rPr>
              <w:t>按需求确定程度区分预排需求与已下达任务，结合齐套、在制及可用产能滚动形成多日计划；明确近期任务的调整边界、权限、版本与通知，使生产、工程和仓储及时协同。计划周期与稳定承诺以订单可确认程度为依据，精细排程在基础条件具备后深化。</w:t>
            </w:r>
          </w:p>
        </w:tc>
      </w:tr>
      <w:tr w14:paraId="2A9CA6F2">
        <w:trPr>
          <w:cantSplit/>
          <w:jc w:val="center"/>
        </w:trPr>
        <w:tc>
          <w:tcPr>
            <w:tcW w:w="2232" w:type="dxa"/>
            <w:shd w:val="clear" w:color="auto" w:fill="F1F5F8"/>
            <w:vAlign w:val="center"/>
          </w:tcPr>
          <w:p w14:paraId="598712E1">
            <w:pPr>
              <w:spacing w:before="40" w:after="40" w:line="280" w:lineRule="exact"/>
            </w:pPr>
            <w:r>
              <w:rPr>
                <w:rFonts w:ascii="Arial Unicode MS" w:hAnsi="Arial Unicode MS" w:eastAsia="Arial Unicode MS"/>
                <w:b w:val="0"/>
                <w:color w:val="000000"/>
                <w:sz w:val="20"/>
              </w:rPr>
              <w:t>G0</w:t>
            </w:r>
            <w:r>
              <w:rPr>
                <w:rFonts w:hint="eastAsia"/>
                <w:b w:val="0"/>
                <w:color w:val="000000"/>
                <w:sz w:val="20"/>
                <w:lang w:val="en-US" w:eastAsia="zh-CN"/>
              </w:rPr>
              <w:t>5</w:t>
            </w:r>
            <w:r>
              <w:rPr>
                <w:rFonts w:ascii="Arial Unicode MS" w:hAnsi="Arial Unicode MS" w:eastAsia="Arial Unicode MS"/>
                <w:b w:val="0"/>
                <w:color w:val="000000"/>
                <w:sz w:val="20"/>
              </w:rPr>
              <w:t>上海建厂并行投入风险</w:t>
            </w:r>
          </w:p>
        </w:tc>
        <w:tc>
          <w:tcPr>
            <w:tcW w:w="3816" w:type="dxa"/>
            <w:shd w:val="clear" w:color="auto" w:fill="F1F5F8"/>
            <w:vAlign w:val="center"/>
          </w:tcPr>
          <w:p w14:paraId="1D6F92AE">
            <w:pPr>
              <w:spacing w:before="40" w:after="40" w:line="280" w:lineRule="exact"/>
            </w:pPr>
            <w:r>
              <w:rPr>
                <w:rFonts w:ascii="Arial Unicode MS" w:hAnsi="Arial Unicode MS" w:eastAsia="Arial Unicode MS"/>
                <w:b w:val="0"/>
                <w:color w:val="000000"/>
                <w:sz w:val="20"/>
              </w:rPr>
              <w:t>相同骨干及IT同时承担深圳试点、上海建厂和运营，时间冲突会延误流程确认、数据准备、验证及培训。</w:t>
            </w:r>
          </w:p>
        </w:tc>
        <w:tc>
          <w:tcPr>
            <w:tcW w:w="4032" w:type="dxa"/>
            <w:shd w:val="clear" w:color="auto" w:fill="F1F5F8"/>
            <w:vAlign w:val="center"/>
          </w:tcPr>
          <w:p w14:paraId="15477F0E">
            <w:pPr>
              <w:spacing w:before="40" w:after="40" w:line="280" w:lineRule="exact"/>
            </w:pPr>
            <w:r>
              <w:rPr>
                <w:rFonts w:ascii="Arial Unicode MS" w:hAnsi="Arial Unicode MS" w:eastAsia="Arial Unicode MS"/>
                <w:b w:val="0"/>
                <w:color w:val="000000"/>
                <w:sz w:val="20"/>
              </w:rPr>
              <w:t>跨项目统筹关键用户和IT时间，落实授权决策人、替补及实际可投入窗口，保护各期核心闭环所需业务参与。</w:t>
            </w:r>
          </w:p>
        </w:tc>
      </w:tr>
      <w:tr w14:paraId="30B37593">
        <w:trPr>
          <w:cantSplit/>
          <w:jc w:val="center"/>
        </w:trPr>
        <w:tc>
          <w:tcPr>
            <w:tcW w:w="2232" w:type="dxa"/>
            <w:vAlign w:val="center"/>
          </w:tcPr>
          <w:p w14:paraId="1F31CFDB">
            <w:pPr>
              <w:spacing w:before="40" w:after="40" w:line="280" w:lineRule="exact"/>
            </w:pPr>
            <w:r>
              <w:rPr>
                <w:rFonts w:ascii="Arial Unicode MS" w:hAnsi="Arial Unicode MS" w:eastAsia="Arial Unicode MS"/>
                <w:b w:val="0"/>
                <w:color w:val="000000"/>
                <w:sz w:val="20"/>
              </w:rPr>
              <w:t>G0</w:t>
            </w:r>
            <w:r>
              <w:rPr>
                <w:rFonts w:hint="eastAsia"/>
                <w:b w:val="0"/>
                <w:color w:val="000000"/>
                <w:sz w:val="20"/>
                <w:lang w:val="en-US" w:eastAsia="zh-CN"/>
              </w:rPr>
              <w:t>6</w:t>
            </w:r>
            <w:r>
              <w:rPr>
                <w:rFonts w:ascii="Arial Unicode MS" w:hAnsi="Arial Unicode MS" w:eastAsia="Arial Unicode MS"/>
                <w:b w:val="0"/>
                <w:color w:val="000000"/>
                <w:sz w:val="20"/>
              </w:rPr>
              <w:t>技术资源与供应商交付风险</w:t>
            </w:r>
          </w:p>
        </w:tc>
        <w:tc>
          <w:tcPr>
            <w:tcW w:w="3816" w:type="dxa"/>
            <w:vAlign w:val="center"/>
          </w:tcPr>
          <w:p w14:paraId="1518143E">
            <w:pPr>
              <w:spacing w:before="40" w:after="40" w:line="280" w:lineRule="exact"/>
            </w:pPr>
            <w:r>
              <w:rPr>
                <w:rFonts w:ascii="Arial Unicode MS" w:hAnsi="Arial Unicode MS" w:eastAsia="Arial Unicode MS"/>
                <w:b w:val="0"/>
                <w:color w:val="000000"/>
                <w:sz w:val="20"/>
              </w:rPr>
              <w:t>产测及设备接口、网络终端或第三方未按期到位，顾问与技术团队不能覆盖难点，将阻碍深圳验证，并可能把共性缺陷传递至上海全产线。</w:t>
            </w:r>
          </w:p>
        </w:tc>
        <w:tc>
          <w:tcPr>
            <w:tcW w:w="4032" w:type="dxa"/>
            <w:vAlign w:val="center"/>
          </w:tcPr>
          <w:p w14:paraId="35BB78A9">
            <w:pPr>
              <w:spacing w:before="40" w:after="40" w:line="280" w:lineRule="exact"/>
            </w:pPr>
            <w:r>
              <w:rPr>
                <w:rFonts w:ascii="Arial Unicode MS" w:hAnsi="Arial Unicode MS" w:eastAsia="Arial Unicode MS"/>
                <w:b w:val="0"/>
                <w:color w:val="000000"/>
                <w:sz w:val="20"/>
              </w:rPr>
              <w:t>上海需求明确后，以真实复杂场景及拟投入团队开展选型；通过深圳试点验证顾问、集成及交付能力，形成受控模板。上海新增工艺、接口和负载另行验证，不以深圳通过替代。</w:t>
            </w:r>
          </w:p>
        </w:tc>
      </w:tr>
      <w:tr w14:paraId="30B37593">
        <w:trPr>
          <w:cantSplit/>
          <w:jc w:val="center"/>
        </w:trPr>
        <w:tc>
          <w:tcPr>
            <w:tcW w:w="2232" w:type="dxa"/>
            <w:vAlign w:val="center"/>
          </w:tcPr>
          <w:p w14:paraId="1F31CFDB">
            <w:pPr>
              <w:keepNext/>
              <w:spacing w:before="40" w:after="40" w:line="280" w:lineRule="exact"/>
            </w:pPr>
            <w:r>
              <w:rPr>
                <w:rFonts w:ascii="Arial Unicode MS" w:hAnsi="Arial Unicode MS" w:eastAsia="Arial Unicode MS"/>
                <w:b w:val="0"/>
                <w:color w:val="000000"/>
                <w:sz w:val="20"/>
              </w:rPr>
              <w:t>G07流程 模型与规则梳理能力风险</w:t>
            </w:r>
          </w:p>
        </w:tc>
        <w:tc>
          <w:tcPr>
            <w:tcW w:w="3816" w:type="dxa"/>
            <w:vAlign w:val="center"/>
          </w:tcPr>
          <w:p w14:paraId="1518143E">
            <w:pPr>
              <w:keepNext/>
              <w:spacing w:before="40" w:after="40" w:line="280" w:lineRule="exact"/>
            </w:pPr>
            <w:r>
              <w:rPr>
                <w:rFonts w:ascii="Arial Unicode MS" w:hAnsi="Arial Unicode MS" w:eastAsia="Arial Unicode MS"/>
                <w:b w:val="0"/>
                <w:color w:val="000000"/>
                <w:sz w:val="20"/>
              </w:rPr>
              <w:t>若内部缺少流程优化、制造业务建模及规则分析经验，可能将历史默认做法直接固化，遗漏状态、责任和异常，造成需求反复及系统难以执行。</w:t>
            </w:r>
          </w:p>
        </w:tc>
        <w:tc>
          <w:tcPr>
            <w:tcW w:w="4032" w:type="dxa"/>
            <w:vAlign w:val="center"/>
          </w:tcPr>
          <w:p w14:paraId="35BB78A9">
            <w:pPr>
              <w:keepNext/>
              <w:spacing w:before="40" w:after="40" w:line="280" w:lineRule="exact"/>
            </w:pPr>
            <w:r>
              <w:rPr>
                <w:rFonts w:ascii="Arial Unicode MS" w:hAnsi="Arial Unicode MS" w:eastAsia="Arial Unicode MS"/>
                <w:b w:val="0"/>
                <w:color w:val="000000"/>
                <w:sz w:val="20"/>
              </w:rPr>
              <w:t>由业务侧负责规则确认，评估是否引入外部专家或咨询。以端到端流程、对象及状态、规则与例外、责任数据和场景验证形成成果，并向内部骨干转移方法。</w:t>
            </w:r>
          </w:p>
        </w:tc>
      </w:tr>
      <w:tr w14:paraId="30B37593">
        <w:trPr>
          <w:cantSplit/>
          <w:jc w:val="center"/>
        </w:trPr>
        <w:tc>
          <w:tcPr>
            <w:tcW w:w="2232" w:type="dxa"/>
            <w:vAlign w:val="center"/>
          </w:tcPr>
          <w:p w14:paraId="1F31CFDB">
            <w:pPr>
              <w:keepNext/>
              <w:spacing w:before="40" w:after="40" w:line="280" w:lineRule="exact"/>
            </w:pPr>
            <w:r>
              <w:rPr>
                <w:rFonts w:ascii="Arial Unicode MS" w:hAnsi="Arial Unicode MS" w:eastAsia="Arial Unicode MS"/>
                <w:b w:val="0"/>
                <w:color w:val="000000"/>
                <w:sz w:val="20"/>
              </w:rPr>
              <w:t>G08新生产模式与新工艺需求遗漏风险</w:t>
            </w:r>
          </w:p>
        </w:tc>
        <w:tc>
          <w:tcPr>
            <w:tcW w:w="3816" w:type="dxa"/>
            <w:vAlign w:val="center"/>
          </w:tcPr>
          <w:p w14:paraId="1518143E">
            <w:pPr>
              <w:keepNext/>
              <w:spacing w:before="40" w:after="40" w:line="280" w:lineRule="exact"/>
            </w:pPr>
            <w:r>
              <w:rPr>
                <w:rFonts w:ascii="Arial Unicode MS" w:hAnsi="Arial Unicode MS" w:eastAsia="Arial Unicode MS"/>
                <w:b w:val="0"/>
                <w:color w:val="000000"/>
                <w:sz w:val="20"/>
              </w:rPr>
              <w:t>上海引入新的生产模式及机加、SMT等工艺，若缺少熟悉相关业务的人员参与，仅沿用深圳装配逻辑，可能出现需求遗漏、模型不符、设备接口或质量追溯缺口。</w:t>
            </w:r>
          </w:p>
        </w:tc>
        <w:tc>
          <w:tcPr>
            <w:tcW w:w="4032" w:type="dxa"/>
            <w:vAlign w:val="center"/>
          </w:tcPr>
          <w:p w14:paraId="35BB78A9">
            <w:pPr>
              <w:keepNext/>
              <w:spacing w:before="40" w:after="40" w:line="280" w:lineRule="exact"/>
            </w:pPr>
            <w:r>
              <w:rPr>
                <w:rFonts w:ascii="Arial Unicode MS" w:hAnsi="Arial Unicode MS" w:eastAsia="Arial Unicode MS"/>
                <w:b w:val="0"/>
                <w:color w:val="000000"/>
                <w:sz w:val="20"/>
              </w:rPr>
              <w:t>在选型前落实新模式和工艺业务代表，必要时补充具备经验的人员或外部支持。按新工艺全流程及典型异常评审需求、数据与接口，明确每项需求的确认人；设计变化受控更新。</w:t>
            </w:r>
          </w:p>
        </w:tc>
      </w:tr>
      <w:tr w14:paraId="30B37593">
        <w:trPr>
          <w:cantSplit/>
          <w:jc w:val="center"/>
        </w:trPr>
        <w:tc>
          <w:tcPr>
            <w:tcW w:w="2232" w:type="dxa"/>
            <w:vAlign w:val="center"/>
          </w:tcPr>
          <w:p w14:paraId="1F31CFDB">
            <w:pPr>
              <w:spacing w:before="40" w:after="40" w:line="280" w:lineRule="exact"/>
            </w:pPr>
            <w:r>
              <w:rPr>
                <w:rFonts w:ascii="Arial Unicode MS" w:hAnsi="Arial Unicode MS" w:eastAsia="Arial Unicode MS"/>
                <w:b w:val="0"/>
                <w:color w:val="000000"/>
                <w:sz w:val="20"/>
              </w:rPr>
              <w:t>G09上海全产线投用风险</w:t>
            </w:r>
          </w:p>
        </w:tc>
        <w:tc>
          <w:tcPr>
            <w:tcW w:w="3816" w:type="dxa"/>
            <w:vAlign w:val="center"/>
          </w:tcPr>
          <w:p w14:paraId="1518143E">
            <w:pPr>
              <w:spacing w:before="40" w:after="40" w:line="280" w:lineRule="exact"/>
            </w:pPr>
            <w:r>
              <w:rPr>
                <w:rFonts w:ascii="Arial Unicode MS" w:hAnsi="Arial Unicode MS" w:eastAsia="Arial Unicode MS"/>
                <w:b w:val="0"/>
                <w:color w:val="000000"/>
                <w:sz w:val="20"/>
              </w:rPr>
              <w:t>上海新工厂需支持全产线生产且没有生产试点环节。新模式、新工艺与全线接口、物流及负载若验证不足，集中启用后可能造成连锁中断；深圳通过不能证明上海差异全部适用。</w:t>
            </w:r>
          </w:p>
        </w:tc>
        <w:tc>
          <w:tcPr>
            <w:tcW w:w="4032" w:type="dxa"/>
            <w:vAlign w:val="center"/>
          </w:tcPr>
          <w:p w14:paraId="35BB78A9">
            <w:pPr>
              <w:spacing w:before="40" w:after="40" w:line="280" w:lineRule="exact"/>
            </w:pPr>
            <w:r>
              <w:rPr>
                <w:rFonts w:ascii="Arial Unicode MS" w:hAnsi="Arial Unicode MS" w:eastAsia="Arial Unicode MS"/>
                <w:b w:val="0"/>
                <w:color w:val="000000"/>
                <w:sz w:val="20"/>
              </w:rPr>
              <w:t>上线前建立覆盖全产线的流程及接口验证矩阵，完成新增工艺场景、全流程联调、负载与异常演练、数据及人员就绪检查。明确启用准入、故障分级、应急作业与数据补录恢复，切换及连续生产保障与建厂计划统筹。</w:t>
            </w:r>
          </w:p>
        </w:tc>
      </w:tr>
    </w:tbl>
    <w:p w14:paraId="2FB12739">
      <w:pPr>
        <w:spacing w:before="20" w:after="20" w:line="120" w:lineRule="auto"/>
      </w:pPr>
    </w:p>
    <w:p w14:paraId="45043C92">
      <w:pPr>
        <w:rPr>
          <w:rFonts w:hint="default"/>
          <w:color w:val="000000"/>
          <w:highlight w:val="yellow"/>
          <w:lang w:val="en-US" w:eastAsia="zh-CN"/>
        </w:rPr>
      </w:pPr>
      <w:bookmarkStart w:id="23" w:name="_GoBack"/>
      <w:bookmarkEnd w:id="23"/>
    </w:p>
    <w:p w14:paraId="1A997D5E">
      <w:pPr>
        <w:pStyle w:val="3"/>
        <w:pageBreakBefore/>
      </w:pPr>
      <w:bookmarkStart w:id="22" w:name="appendix"/>
      <w:r>
        <w:rPr>
          <w:rFonts w:ascii="Arial Unicode MS" w:hAnsi="Arial Unicode MS" w:eastAsia="Arial Unicode MS"/>
          <w:b/>
          <w:color w:val="000000"/>
        </w:rPr>
        <w:t>附录 资料索引</w:t>
      </w:r>
      <w:bookmarkEnd w:id="22"/>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90" w:type="dxa"/>
          <w:left w:w="90" w:type="dxa"/>
          <w:bottom w:w="90" w:type="dxa"/>
          <w:right w:w="90" w:type="dxa"/>
        </w:tblCellMar>
      </w:tblPr>
      <w:tblGrid>
        <w:gridCol w:w="720"/>
        <w:gridCol w:w="6768"/>
        <w:gridCol w:w="2520"/>
      </w:tblGrid>
      <w:tr w14:paraId="7C27C9B8">
        <w:trPr>
          <w:cantSplit/>
          <w:tblHeader/>
          <w:jc w:val="center"/>
        </w:trPr>
        <w:tc>
          <w:tcPr>
            <w:tcW w:w="720" w:type="dxa"/>
            <w:shd w:val="clear" w:color="auto" w:fill="234A68"/>
            <w:vAlign w:val="center"/>
          </w:tcPr>
          <w:p w14:paraId="6329C9C3">
            <w:pPr>
              <w:keepNext/>
              <w:spacing w:before="40" w:after="40" w:line="280" w:lineRule="exact"/>
              <w:jc w:val="center"/>
            </w:pPr>
            <w:r>
              <w:rPr>
                <w:rFonts w:ascii="Arial Unicode MS" w:hAnsi="Arial Unicode MS" w:eastAsia="Arial Unicode MS"/>
                <w:b/>
                <w:color w:val="FFFFFF"/>
                <w:sz w:val="20"/>
              </w:rPr>
              <w:t>编号</w:t>
            </w:r>
          </w:p>
        </w:tc>
        <w:tc>
          <w:tcPr>
            <w:tcW w:w="6768" w:type="dxa"/>
            <w:shd w:val="clear" w:color="auto" w:fill="234A68"/>
            <w:vAlign w:val="center"/>
          </w:tcPr>
          <w:p w14:paraId="038B5881">
            <w:pPr>
              <w:keepNext/>
              <w:spacing w:before="40" w:after="40" w:line="280" w:lineRule="exact"/>
              <w:jc w:val="center"/>
            </w:pPr>
            <w:r>
              <w:rPr>
                <w:rFonts w:ascii="Arial Unicode MS" w:hAnsi="Arial Unicode MS" w:eastAsia="Arial Unicode MS"/>
                <w:b/>
                <w:color w:val="FFFFFF"/>
                <w:sz w:val="20"/>
              </w:rPr>
              <w:t>资料</w:t>
            </w:r>
          </w:p>
        </w:tc>
        <w:tc>
          <w:tcPr>
            <w:tcW w:w="2520" w:type="dxa"/>
            <w:shd w:val="clear" w:color="auto" w:fill="234A68"/>
            <w:vAlign w:val="center"/>
          </w:tcPr>
          <w:p w14:paraId="0024E835">
            <w:pPr>
              <w:keepNext/>
              <w:spacing w:before="40" w:after="40" w:line="280" w:lineRule="exact"/>
              <w:jc w:val="center"/>
            </w:pPr>
            <w:r>
              <w:rPr>
                <w:rFonts w:ascii="Arial Unicode MS" w:hAnsi="Arial Unicode MS" w:eastAsia="Arial Unicode MS"/>
                <w:b/>
                <w:color w:val="FFFFFF"/>
                <w:sz w:val="20"/>
              </w:rPr>
              <w:t>日期或性质</w:t>
            </w:r>
          </w:p>
        </w:tc>
      </w:tr>
      <w:tr w14:paraId="26F824DF">
        <w:trPr>
          <w:cantSplit/>
          <w:jc w:val="center"/>
        </w:trPr>
        <w:tc>
          <w:tcPr>
            <w:tcW w:w="720" w:type="dxa"/>
            <w:vAlign w:val="center"/>
          </w:tcPr>
          <w:p w14:paraId="2710B382">
            <w:pPr>
              <w:spacing w:before="40" w:after="40" w:line="280" w:lineRule="exact"/>
              <w:jc w:val="center"/>
            </w:pPr>
            <w:r>
              <w:rPr>
                <w:rFonts w:ascii="Arial Unicode MS" w:hAnsi="Arial Unicode MS" w:eastAsia="Arial Unicode MS"/>
                <w:b w:val="0"/>
                <w:color w:val="000000"/>
                <w:sz w:val="20"/>
              </w:rPr>
              <w:t>S01</w:t>
            </w:r>
          </w:p>
        </w:tc>
        <w:tc>
          <w:tcPr>
            <w:tcW w:w="6768" w:type="dxa"/>
            <w:vAlign w:val="center"/>
          </w:tcPr>
          <w:p w14:paraId="6F48E362">
            <w:pPr>
              <w:spacing w:before="40" w:after="40" w:line="280" w:lineRule="exact"/>
            </w:pPr>
            <w:r>
              <w:rPr>
                <w:rFonts w:ascii="Arial Unicode MS" w:hAnsi="Arial Unicode MS" w:eastAsia="Arial Unicode MS"/>
                <w:b w:val="0"/>
                <w:color w:val="000000"/>
                <w:sz w:val="20"/>
              </w:rPr>
              <w:t>MOM调研访谈记录模板V2.1</w:t>
            </w:r>
          </w:p>
        </w:tc>
        <w:tc>
          <w:tcPr>
            <w:tcW w:w="2520" w:type="dxa"/>
            <w:vAlign w:val="center"/>
          </w:tcPr>
          <w:p w14:paraId="381A4241">
            <w:pPr>
              <w:spacing w:before="40" w:after="40" w:line="280" w:lineRule="exact"/>
            </w:pPr>
            <w:r>
              <w:rPr>
                <w:rFonts w:ascii="Arial Unicode MS" w:hAnsi="Arial Unicode MS" w:eastAsia="Arial Unicode MS"/>
                <w:b w:val="0"/>
                <w:color w:val="000000"/>
                <w:sz w:val="20"/>
              </w:rPr>
              <w:t>本地实际访谈记录</w:t>
            </w:r>
          </w:p>
        </w:tc>
      </w:tr>
      <w:tr w14:paraId="68507D0F">
        <w:trPr>
          <w:cantSplit/>
          <w:jc w:val="center"/>
        </w:trPr>
        <w:tc>
          <w:tcPr>
            <w:tcW w:w="720" w:type="dxa"/>
            <w:shd w:val="clear" w:color="auto" w:fill="F1F5F8"/>
            <w:vAlign w:val="center"/>
          </w:tcPr>
          <w:p w14:paraId="2F56FC70">
            <w:pPr>
              <w:spacing w:before="40" w:after="40" w:line="280" w:lineRule="exact"/>
              <w:jc w:val="center"/>
            </w:pPr>
            <w:r>
              <w:rPr>
                <w:rFonts w:ascii="Arial Unicode MS" w:hAnsi="Arial Unicode MS" w:eastAsia="Arial Unicode MS"/>
                <w:b w:val="0"/>
                <w:color w:val="000000"/>
                <w:sz w:val="20"/>
              </w:rPr>
              <w:t>S02</w:t>
            </w:r>
          </w:p>
        </w:tc>
        <w:tc>
          <w:tcPr>
            <w:tcW w:w="6768" w:type="dxa"/>
            <w:shd w:val="clear" w:color="auto" w:fill="F1F5F8"/>
            <w:vAlign w:val="center"/>
          </w:tcPr>
          <w:p w14:paraId="3CD8BE47">
            <w:pPr>
              <w:spacing w:before="40" w:after="40" w:line="280" w:lineRule="exact"/>
            </w:pPr>
            <w:r>
              <w:rPr>
                <w:rFonts w:ascii="Arial Unicode MS" w:hAnsi="Arial Unicode MS" w:eastAsia="Arial Unicode MS"/>
                <w:b w:val="0"/>
                <w:color w:val="000000"/>
                <w:sz w:val="20"/>
              </w:rPr>
              <w:t>生产排产与ERP系统建设调研</w:t>
            </w:r>
          </w:p>
        </w:tc>
        <w:tc>
          <w:tcPr>
            <w:tcW w:w="2520" w:type="dxa"/>
            <w:shd w:val="clear" w:color="auto" w:fill="F1F5F8"/>
            <w:vAlign w:val="center"/>
          </w:tcPr>
          <w:p w14:paraId="73A2EFEA">
            <w:pPr>
              <w:spacing w:before="40" w:after="40" w:line="280" w:lineRule="exact"/>
            </w:pPr>
            <w:r>
              <w:rPr>
                <w:rFonts w:ascii="Arial Unicode MS" w:hAnsi="Arial Unicode MS" w:eastAsia="Arial Unicode MS"/>
                <w:b w:val="0"/>
                <w:color w:val="000000"/>
                <w:sz w:val="20"/>
              </w:rPr>
              <w:t>2026年9月23日</w:t>
            </w:r>
          </w:p>
        </w:tc>
      </w:tr>
      <w:tr w14:paraId="79556638">
        <w:trPr>
          <w:cantSplit/>
          <w:jc w:val="center"/>
        </w:trPr>
        <w:tc>
          <w:tcPr>
            <w:tcW w:w="720" w:type="dxa"/>
            <w:vAlign w:val="center"/>
          </w:tcPr>
          <w:p w14:paraId="4808FB9B">
            <w:pPr>
              <w:spacing w:before="40" w:after="40" w:line="280" w:lineRule="exact"/>
              <w:jc w:val="center"/>
            </w:pPr>
            <w:r>
              <w:rPr>
                <w:rFonts w:ascii="Arial Unicode MS" w:hAnsi="Arial Unicode MS" w:eastAsia="Arial Unicode MS"/>
                <w:b w:val="0"/>
                <w:color w:val="000000"/>
                <w:sz w:val="20"/>
              </w:rPr>
              <w:t>S03</w:t>
            </w:r>
          </w:p>
        </w:tc>
        <w:tc>
          <w:tcPr>
            <w:tcW w:w="6768" w:type="dxa"/>
            <w:vAlign w:val="center"/>
          </w:tcPr>
          <w:p w14:paraId="76CF4053">
            <w:pPr>
              <w:spacing w:before="40" w:after="40" w:line="280" w:lineRule="exact"/>
            </w:pPr>
            <w:r>
              <w:rPr>
                <w:rFonts w:ascii="Arial Unicode MS" w:hAnsi="Arial Unicode MS" w:eastAsia="Arial Unicode MS"/>
                <w:b w:val="0"/>
                <w:color w:val="000000"/>
                <w:sz w:val="20"/>
              </w:rPr>
              <w:t>系统物料及变更相关情况调研</w:t>
            </w:r>
          </w:p>
        </w:tc>
        <w:tc>
          <w:tcPr>
            <w:tcW w:w="2520" w:type="dxa"/>
            <w:vAlign w:val="center"/>
          </w:tcPr>
          <w:p w14:paraId="39B0E766">
            <w:pPr>
              <w:spacing w:before="40" w:after="40" w:line="280" w:lineRule="exact"/>
            </w:pPr>
            <w:r>
              <w:rPr>
                <w:rFonts w:ascii="Arial Unicode MS" w:hAnsi="Arial Unicode MS" w:eastAsia="Arial Unicode MS"/>
                <w:b w:val="0"/>
                <w:color w:val="000000"/>
                <w:sz w:val="20"/>
              </w:rPr>
              <w:t>2026年9月28日</w:t>
            </w:r>
          </w:p>
        </w:tc>
      </w:tr>
      <w:tr w14:paraId="463C2C1D">
        <w:trPr>
          <w:cantSplit/>
          <w:jc w:val="center"/>
        </w:trPr>
        <w:tc>
          <w:tcPr>
            <w:tcW w:w="720" w:type="dxa"/>
            <w:shd w:val="clear" w:color="auto" w:fill="F1F5F8"/>
            <w:vAlign w:val="center"/>
          </w:tcPr>
          <w:p w14:paraId="0A6D5407">
            <w:pPr>
              <w:spacing w:before="40" w:after="40" w:line="280" w:lineRule="exact"/>
              <w:jc w:val="center"/>
            </w:pPr>
            <w:r>
              <w:rPr>
                <w:rFonts w:ascii="Arial Unicode MS" w:hAnsi="Arial Unicode MS" w:eastAsia="Arial Unicode MS"/>
                <w:b w:val="0"/>
                <w:color w:val="000000"/>
                <w:sz w:val="20"/>
              </w:rPr>
              <w:t>S04</w:t>
            </w:r>
          </w:p>
        </w:tc>
        <w:tc>
          <w:tcPr>
            <w:tcW w:w="6768" w:type="dxa"/>
            <w:shd w:val="clear" w:color="auto" w:fill="F1F5F8"/>
            <w:vAlign w:val="center"/>
          </w:tcPr>
          <w:p w14:paraId="2607891A">
            <w:pPr>
              <w:spacing w:before="40" w:after="40" w:line="280" w:lineRule="exact"/>
            </w:pPr>
            <w:r>
              <w:rPr>
                <w:rFonts w:ascii="Arial Unicode MS" w:hAnsi="Arial Unicode MS" w:eastAsia="Arial Unicode MS"/>
                <w:b w:val="0"/>
                <w:color w:val="000000"/>
                <w:sz w:val="20"/>
              </w:rPr>
              <w:t>MES系统建设相关需求调研</w:t>
            </w:r>
          </w:p>
        </w:tc>
        <w:tc>
          <w:tcPr>
            <w:tcW w:w="2520" w:type="dxa"/>
            <w:shd w:val="clear" w:color="auto" w:fill="F1F5F8"/>
            <w:vAlign w:val="center"/>
          </w:tcPr>
          <w:p w14:paraId="2EA5E23E">
            <w:pPr>
              <w:spacing w:before="40" w:after="40" w:line="280" w:lineRule="exact"/>
            </w:pPr>
            <w:r>
              <w:rPr>
                <w:rFonts w:ascii="Arial Unicode MS" w:hAnsi="Arial Unicode MS" w:eastAsia="Arial Unicode MS"/>
                <w:b w:val="0"/>
                <w:color w:val="000000"/>
                <w:sz w:val="20"/>
              </w:rPr>
              <w:t>2026年9月29日</w:t>
            </w:r>
          </w:p>
        </w:tc>
      </w:tr>
      <w:tr w14:paraId="6DB7BB06">
        <w:trPr>
          <w:cantSplit/>
          <w:jc w:val="center"/>
        </w:trPr>
        <w:tc>
          <w:tcPr>
            <w:tcW w:w="720" w:type="dxa"/>
            <w:vAlign w:val="center"/>
          </w:tcPr>
          <w:p w14:paraId="00BBC9E4">
            <w:pPr>
              <w:spacing w:before="40" w:after="40" w:line="280" w:lineRule="exact"/>
              <w:jc w:val="center"/>
            </w:pPr>
            <w:r>
              <w:rPr>
                <w:rFonts w:ascii="Arial Unicode MS" w:hAnsi="Arial Unicode MS" w:eastAsia="Arial Unicode MS"/>
                <w:b w:val="0"/>
                <w:color w:val="000000"/>
                <w:sz w:val="20"/>
              </w:rPr>
              <w:t>S05</w:t>
            </w:r>
          </w:p>
        </w:tc>
        <w:tc>
          <w:tcPr>
            <w:tcW w:w="6768" w:type="dxa"/>
            <w:vAlign w:val="center"/>
          </w:tcPr>
          <w:p w14:paraId="71266FBF">
            <w:pPr>
              <w:spacing w:before="40" w:after="40" w:line="280" w:lineRule="exact"/>
            </w:pPr>
            <w:r>
              <w:rPr>
                <w:rFonts w:ascii="Arial Unicode MS" w:hAnsi="Arial Unicode MS" w:eastAsia="Arial Unicode MS"/>
                <w:b w:val="0"/>
                <w:color w:val="000000"/>
                <w:sz w:val="20"/>
              </w:rPr>
              <w:t>MES系统生产相关需求调研</w:t>
            </w:r>
          </w:p>
        </w:tc>
        <w:tc>
          <w:tcPr>
            <w:tcW w:w="2520" w:type="dxa"/>
            <w:vAlign w:val="center"/>
          </w:tcPr>
          <w:p w14:paraId="03AB14CF">
            <w:pPr>
              <w:spacing w:before="40" w:after="40" w:line="280" w:lineRule="exact"/>
            </w:pPr>
            <w:r>
              <w:rPr>
                <w:rFonts w:ascii="Arial Unicode MS" w:hAnsi="Arial Unicode MS" w:eastAsia="Arial Unicode MS"/>
                <w:b w:val="0"/>
                <w:color w:val="000000"/>
                <w:sz w:val="20"/>
              </w:rPr>
              <w:t>2026年10月10日</w:t>
            </w:r>
          </w:p>
        </w:tc>
      </w:tr>
      <w:tr w14:paraId="7CE673E9">
        <w:trPr>
          <w:cantSplit/>
          <w:jc w:val="center"/>
        </w:trPr>
        <w:tc>
          <w:tcPr>
            <w:tcW w:w="720" w:type="dxa"/>
            <w:shd w:val="clear" w:color="auto" w:fill="F1F5F8"/>
            <w:vAlign w:val="center"/>
          </w:tcPr>
          <w:p w14:paraId="71468DA9">
            <w:pPr>
              <w:spacing w:before="40" w:after="40" w:line="280" w:lineRule="exact"/>
              <w:jc w:val="center"/>
            </w:pPr>
            <w:r>
              <w:rPr>
                <w:rFonts w:ascii="Arial Unicode MS" w:hAnsi="Arial Unicode MS" w:eastAsia="Arial Unicode MS"/>
                <w:b w:val="0"/>
                <w:color w:val="000000"/>
                <w:sz w:val="20"/>
              </w:rPr>
              <w:t>S06</w:t>
            </w:r>
          </w:p>
        </w:tc>
        <w:tc>
          <w:tcPr>
            <w:tcW w:w="6768" w:type="dxa"/>
            <w:shd w:val="clear" w:color="auto" w:fill="F1F5F8"/>
            <w:vAlign w:val="center"/>
          </w:tcPr>
          <w:p w14:paraId="65BC2591">
            <w:pPr>
              <w:spacing w:before="40" w:after="40" w:line="280" w:lineRule="exact"/>
            </w:pPr>
            <w:r>
              <w:rPr>
                <w:rFonts w:ascii="Arial Unicode MS" w:hAnsi="Arial Unicode MS" w:eastAsia="Arial Unicode MS"/>
                <w:b w:val="0"/>
                <w:color w:val="000000"/>
                <w:sz w:val="20"/>
              </w:rPr>
              <w:t>研发生产对接流程及MES相关事项调研</w:t>
            </w:r>
          </w:p>
        </w:tc>
        <w:tc>
          <w:tcPr>
            <w:tcW w:w="2520" w:type="dxa"/>
            <w:shd w:val="clear" w:color="auto" w:fill="F1F5F8"/>
            <w:vAlign w:val="center"/>
          </w:tcPr>
          <w:p w14:paraId="4E067501">
            <w:pPr>
              <w:spacing w:before="40" w:after="40" w:line="280" w:lineRule="exact"/>
            </w:pPr>
            <w:r>
              <w:rPr>
                <w:rFonts w:ascii="Arial Unicode MS" w:hAnsi="Arial Unicode MS" w:eastAsia="Arial Unicode MS"/>
                <w:b w:val="0"/>
                <w:color w:val="000000"/>
                <w:sz w:val="20"/>
              </w:rPr>
              <w:t>2026年10月10日</w:t>
            </w:r>
          </w:p>
        </w:tc>
      </w:tr>
      <w:tr w14:paraId="6D9ECB09">
        <w:trPr>
          <w:cantSplit/>
          <w:jc w:val="center"/>
        </w:trPr>
        <w:tc>
          <w:tcPr>
            <w:tcW w:w="720" w:type="dxa"/>
            <w:vAlign w:val="center"/>
          </w:tcPr>
          <w:p w14:paraId="285A460D">
            <w:pPr>
              <w:spacing w:before="40" w:after="40" w:line="280" w:lineRule="exact"/>
              <w:jc w:val="center"/>
            </w:pPr>
            <w:r>
              <w:rPr>
                <w:rFonts w:ascii="Arial Unicode MS" w:hAnsi="Arial Unicode MS" w:eastAsia="Arial Unicode MS"/>
                <w:b w:val="0"/>
                <w:color w:val="000000"/>
                <w:sz w:val="20"/>
              </w:rPr>
              <w:t>S07</w:t>
            </w:r>
          </w:p>
        </w:tc>
        <w:tc>
          <w:tcPr>
            <w:tcW w:w="6768" w:type="dxa"/>
            <w:vAlign w:val="center"/>
          </w:tcPr>
          <w:p w14:paraId="6A658150">
            <w:pPr>
              <w:spacing w:before="40" w:after="40" w:line="280" w:lineRule="exact"/>
            </w:pPr>
            <w:r>
              <w:rPr>
                <w:rFonts w:ascii="Arial Unicode MS" w:hAnsi="Arial Unicode MS" w:eastAsia="Arial Unicode MS"/>
                <w:b w:val="0"/>
                <w:color w:val="000000"/>
                <w:sz w:val="20"/>
              </w:rPr>
              <w:t>华磊迅拓调研报告V1.0</w:t>
            </w:r>
          </w:p>
        </w:tc>
        <w:tc>
          <w:tcPr>
            <w:tcW w:w="2520" w:type="dxa"/>
            <w:vAlign w:val="center"/>
          </w:tcPr>
          <w:p w14:paraId="2E36A109">
            <w:pPr>
              <w:spacing w:before="40" w:after="40" w:line="280" w:lineRule="exact"/>
            </w:pPr>
            <w:r>
              <w:rPr>
                <w:rFonts w:ascii="Arial Unicode MS" w:hAnsi="Arial Unicode MS" w:eastAsia="Arial Unicode MS"/>
                <w:b w:val="0"/>
                <w:color w:val="000000"/>
                <w:sz w:val="20"/>
              </w:rPr>
              <w:t>2026年3月25日 历史现状</w:t>
            </w:r>
          </w:p>
        </w:tc>
      </w:tr>
      <w:tr w14:paraId="0EB71018">
        <w:trPr>
          <w:cantSplit/>
          <w:jc w:val="center"/>
        </w:trPr>
        <w:tc>
          <w:tcPr>
            <w:tcW w:w="720" w:type="dxa"/>
            <w:shd w:val="clear" w:color="auto" w:fill="F1F5F8"/>
            <w:vAlign w:val="center"/>
          </w:tcPr>
          <w:p w14:paraId="69C1C6D4">
            <w:pPr>
              <w:spacing w:before="40" w:after="40" w:line="280" w:lineRule="exact"/>
              <w:jc w:val="center"/>
            </w:pPr>
            <w:r>
              <w:rPr>
                <w:rFonts w:ascii="Arial Unicode MS" w:hAnsi="Arial Unicode MS" w:eastAsia="Arial Unicode MS"/>
                <w:b w:val="0"/>
                <w:color w:val="000000"/>
                <w:sz w:val="20"/>
              </w:rPr>
              <w:t>S08</w:t>
            </w:r>
          </w:p>
        </w:tc>
        <w:tc>
          <w:tcPr>
            <w:tcW w:w="6768" w:type="dxa"/>
            <w:shd w:val="clear" w:color="auto" w:fill="F1F5F8"/>
            <w:vAlign w:val="center"/>
          </w:tcPr>
          <w:p w14:paraId="68F7C8E2">
            <w:pPr>
              <w:spacing w:before="40" w:after="40" w:line="280" w:lineRule="exact"/>
            </w:pPr>
            <w:r>
              <w:rPr>
                <w:rFonts w:ascii="Arial Unicode MS" w:hAnsi="Arial Unicode MS" w:eastAsia="Arial Unicode MS"/>
                <w:b w:val="0"/>
                <w:color w:val="000000"/>
                <w:sz w:val="20"/>
              </w:rPr>
              <w:t>鼎捷数字化工厂说明</w:t>
            </w:r>
          </w:p>
        </w:tc>
        <w:tc>
          <w:tcPr>
            <w:tcW w:w="2520" w:type="dxa"/>
            <w:shd w:val="clear" w:color="auto" w:fill="F1F5F8"/>
            <w:vAlign w:val="center"/>
          </w:tcPr>
          <w:p w14:paraId="6D6D1696">
            <w:pPr>
              <w:spacing w:before="40" w:after="40" w:line="280" w:lineRule="exact"/>
            </w:pPr>
            <w:r>
              <w:rPr>
                <w:rFonts w:ascii="Arial Unicode MS" w:hAnsi="Arial Unicode MS" w:eastAsia="Arial Unicode MS"/>
                <w:b w:val="0"/>
                <w:color w:val="000000"/>
                <w:sz w:val="20"/>
              </w:rPr>
              <w:t>2026年5月 历史现状</w:t>
            </w:r>
          </w:p>
        </w:tc>
      </w:tr>
      <w:tr w14:paraId="29EFBD13">
        <w:trPr>
          <w:cantSplit/>
          <w:jc w:val="center"/>
        </w:trPr>
        <w:tc>
          <w:tcPr>
            <w:tcW w:w="720" w:type="dxa"/>
            <w:vAlign w:val="center"/>
          </w:tcPr>
          <w:p w14:paraId="11FE22DB">
            <w:pPr>
              <w:spacing w:before="40" w:after="40" w:line="280" w:lineRule="exact"/>
              <w:jc w:val="center"/>
            </w:pPr>
            <w:r>
              <w:rPr>
                <w:rFonts w:ascii="Arial Unicode MS" w:hAnsi="Arial Unicode MS" w:eastAsia="Arial Unicode MS"/>
                <w:b w:val="0"/>
                <w:color w:val="000000"/>
                <w:sz w:val="20"/>
              </w:rPr>
              <w:t>S09</w:t>
            </w:r>
          </w:p>
        </w:tc>
        <w:tc>
          <w:tcPr>
            <w:tcW w:w="6768" w:type="dxa"/>
            <w:vAlign w:val="center"/>
          </w:tcPr>
          <w:p w14:paraId="7EDDA984">
            <w:pPr>
              <w:spacing w:before="40" w:after="40" w:line="280" w:lineRule="exact"/>
            </w:pPr>
            <w:r>
              <w:rPr>
                <w:rFonts w:ascii="Arial Unicode MS" w:hAnsi="Arial Unicode MS" w:eastAsia="Arial Unicode MS"/>
                <w:b w:val="0"/>
                <w:color w:val="000000"/>
                <w:sz w:val="20"/>
              </w:rPr>
              <w:t>雨阳SOW资料</w:t>
            </w:r>
          </w:p>
        </w:tc>
        <w:tc>
          <w:tcPr>
            <w:tcW w:w="2520" w:type="dxa"/>
            <w:vAlign w:val="center"/>
          </w:tcPr>
          <w:p w14:paraId="118F0C4E">
            <w:pPr>
              <w:spacing w:before="40" w:after="40" w:line="280" w:lineRule="exact"/>
            </w:pPr>
            <w:r>
              <w:rPr>
                <w:rFonts w:ascii="Arial Unicode MS" w:hAnsi="Arial Unicode MS" w:eastAsia="Arial Unicode MS"/>
                <w:b w:val="0"/>
                <w:color w:val="000000"/>
                <w:sz w:val="20"/>
              </w:rPr>
              <w:t>2026年4月 历史现状线索</w:t>
            </w:r>
          </w:p>
        </w:tc>
      </w:tr>
      <w:tr w14:paraId="6BDAE845">
        <w:trPr>
          <w:cantSplit/>
          <w:jc w:val="center"/>
        </w:trPr>
        <w:tc>
          <w:tcPr>
            <w:tcW w:w="720" w:type="dxa"/>
            <w:shd w:val="clear" w:color="auto" w:fill="F1F5F8"/>
            <w:vAlign w:val="center"/>
          </w:tcPr>
          <w:p w14:paraId="6A3FF5A2">
            <w:pPr>
              <w:spacing w:before="40" w:after="40" w:line="280" w:lineRule="exact"/>
              <w:jc w:val="center"/>
            </w:pPr>
            <w:r>
              <w:rPr>
                <w:rFonts w:ascii="Arial Unicode MS" w:hAnsi="Arial Unicode MS" w:eastAsia="Arial Unicode MS"/>
                <w:b w:val="0"/>
                <w:color w:val="000000"/>
                <w:sz w:val="20"/>
              </w:rPr>
              <w:t>S10</w:t>
            </w:r>
          </w:p>
        </w:tc>
        <w:tc>
          <w:tcPr>
            <w:tcW w:w="6768" w:type="dxa"/>
            <w:shd w:val="clear" w:color="auto" w:fill="F1F5F8"/>
            <w:vAlign w:val="center"/>
          </w:tcPr>
          <w:p w14:paraId="4D6727CF">
            <w:pPr>
              <w:spacing w:before="40" w:after="40" w:line="280" w:lineRule="exact"/>
            </w:pPr>
            <w:r>
              <w:rPr>
                <w:rFonts w:ascii="Arial Unicode MS" w:hAnsi="Arial Unicode MS" w:eastAsia="Arial Unicode MS"/>
                <w:b w:val="0"/>
                <w:color w:val="000000"/>
                <w:sz w:val="20"/>
              </w:rPr>
              <w:t>仓库管理相关情况调研</w:t>
            </w:r>
          </w:p>
        </w:tc>
        <w:tc>
          <w:tcPr>
            <w:tcW w:w="2520" w:type="dxa"/>
            <w:shd w:val="clear" w:color="auto" w:fill="F1F5F8"/>
            <w:vAlign w:val="center"/>
          </w:tcPr>
          <w:p w14:paraId="273E741C">
            <w:pPr>
              <w:spacing w:before="40" w:after="40" w:line="280" w:lineRule="exact"/>
            </w:pPr>
            <w:r>
              <w:rPr>
                <w:rFonts w:ascii="Arial Unicode MS" w:hAnsi="Arial Unicode MS" w:eastAsia="Arial Unicode MS"/>
                <w:b w:val="0"/>
                <w:color w:val="000000"/>
                <w:sz w:val="20"/>
              </w:rPr>
              <w:t>2026年9月30日</w:t>
            </w:r>
          </w:p>
        </w:tc>
      </w:tr>
      <w:tr w14:paraId="20D6C0A1">
        <w:trPr>
          <w:cantSplit/>
          <w:jc w:val="center"/>
        </w:trPr>
        <w:tc>
          <w:tcPr>
            <w:tcW w:w="720" w:type="dxa"/>
            <w:vAlign w:val="center"/>
          </w:tcPr>
          <w:p w14:paraId="75ED1C29">
            <w:pPr>
              <w:spacing w:before="40" w:after="40" w:line="280" w:lineRule="exact"/>
              <w:jc w:val="center"/>
            </w:pPr>
            <w:r>
              <w:rPr>
                <w:rFonts w:ascii="Arial Unicode MS" w:hAnsi="Arial Unicode MS" w:eastAsia="Arial Unicode MS"/>
                <w:b w:val="0"/>
                <w:color w:val="000000"/>
                <w:sz w:val="20"/>
              </w:rPr>
              <w:t>S11</w:t>
            </w:r>
          </w:p>
        </w:tc>
        <w:tc>
          <w:tcPr>
            <w:tcW w:w="6768" w:type="dxa"/>
            <w:vAlign w:val="center"/>
          </w:tcPr>
          <w:p w14:paraId="4794DC8B">
            <w:pPr>
              <w:spacing w:before="40" w:after="40" w:line="280" w:lineRule="exact"/>
            </w:pPr>
            <w:r>
              <w:rPr>
                <w:rFonts w:ascii="Arial Unicode MS" w:hAnsi="Arial Unicode MS" w:eastAsia="Arial Unicode MS"/>
                <w:b w:val="0"/>
                <w:color w:val="000000"/>
                <w:sz w:val="20"/>
              </w:rPr>
              <w:t>概要总结调研纪要</w:t>
            </w:r>
          </w:p>
        </w:tc>
        <w:tc>
          <w:tcPr>
            <w:tcW w:w="2520" w:type="dxa"/>
            <w:vAlign w:val="center"/>
          </w:tcPr>
          <w:p w14:paraId="7C174A70">
            <w:pPr>
              <w:spacing w:before="40" w:after="40" w:line="280" w:lineRule="exact"/>
            </w:pPr>
            <w:r>
              <w:rPr>
                <w:rFonts w:ascii="Arial Unicode MS" w:hAnsi="Arial Unicode MS" w:eastAsia="Arial Unicode MS"/>
                <w:b w:val="0"/>
                <w:color w:val="000000"/>
                <w:sz w:val="20"/>
              </w:rPr>
              <w:t>本地概要纪要</w:t>
            </w:r>
          </w:p>
        </w:tc>
      </w:tr>
      <w:tr w14:paraId="40921E9D">
        <w:trPr>
          <w:cantSplit/>
          <w:jc w:val="center"/>
        </w:trPr>
        <w:tc>
          <w:tcPr>
            <w:tcW w:w="720" w:type="dxa"/>
            <w:shd w:val="clear" w:color="auto" w:fill="F1F5F8"/>
            <w:vAlign w:val="center"/>
          </w:tcPr>
          <w:p w14:paraId="5217160F">
            <w:pPr>
              <w:spacing w:before="40" w:after="40" w:line="280" w:lineRule="exact"/>
              <w:jc w:val="center"/>
            </w:pPr>
            <w:r>
              <w:rPr>
                <w:rFonts w:ascii="Arial Unicode MS" w:hAnsi="Arial Unicode MS" w:eastAsia="Arial Unicode MS"/>
                <w:b w:val="0"/>
                <w:color w:val="000000"/>
                <w:sz w:val="20"/>
              </w:rPr>
              <w:t>S12</w:t>
            </w:r>
          </w:p>
        </w:tc>
        <w:tc>
          <w:tcPr>
            <w:tcW w:w="6768" w:type="dxa"/>
            <w:shd w:val="clear" w:color="auto" w:fill="F1F5F8"/>
            <w:vAlign w:val="center"/>
          </w:tcPr>
          <w:p w14:paraId="764D6E49">
            <w:pPr>
              <w:spacing w:before="40" w:after="40" w:line="280" w:lineRule="exact"/>
            </w:pPr>
            <w:r>
              <w:rPr>
                <w:rFonts w:ascii="Arial Unicode MS" w:hAnsi="Arial Unicode MS" w:eastAsia="Arial Unicode MS"/>
                <w:b w:val="0"/>
                <w:color w:val="000000"/>
                <w:sz w:val="20"/>
              </w:rPr>
              <w:t>制造数智化水平诊断与MOM建设规划表 资料诊断V2.2</w:t>
            </w:r>
          </w:p>
        </w:tc>
        <w:tc>
          <w:tcPr>
            <w:tcW w:w="2520" w:type="dxa"/>
            <w:shd w:val="clear" w:color="auto" w:fill="F1F5F8"/>
            <w:vAlign w:val="center"/>
          </w:tcPr>
          <w:p w14:paraId="0B3B843D">
            <w:pPr>
              <w:spacing w:before="40" w:after="40" w:line="280" w:lineRule="exact"/>
            </w:pPr>
            <w:r>
              <w:rPr>
                <w:rFonts w:ascii="Arial Unicode MS" w:hAnsi="Arial Unicode MS" w:eastAsia="Arial Unicode MS"/>
                <w:b w:val="0"/>
                <w:color w:val="000000"/>
                <w:sz w:val="20"/>
              </w:rPr>
              <w:t>2026年10月20日用户修订；分项参考</w:t>
            </w:r>
          </w:p>
        </w:tc>
      </w:tr>
      <w:tr w14:paraId="6601832E">
        <w:trPr>
          <w:cantSplit/>
          <w:jc w:val="center"/>
        </w:trPr>
        <w:tc>
          <w:tcPr>
            <w:tcW w:w="720" w:type="dxa"/>
            <w:vAlign w:val="center"/>
          </w:tcPr>
          <w:p w14:paraId="3F70FF11">
            <w:pPr>
              <w:spacing w:before="40" w:after="40" w:line="280" w:lineRule="exact"/>
              <w:jc w:val="center"/>
            </w:pPr>
            <w:r>
              <w:rPr>
                <w:rFonts w:ascii="Arial Unicode MS" w:hAnsi="Arial Unicode MS" w:eastAsia="Arial Unicode MS"/>
                <w:b w:val="0"/>
                <w:color w:val="000000"/>
                <w:sz w:val="20"/>
              </w:rPr>
              <w:t>S13</w:t>
            </w:r>
          </w:p>
        </w:tc>
        <w:tc>
          <w:tcPr>
            <w:tcW w:w="6768" w:type="dxa"/>
            <w:vAlign w:val="center"/>
          </w:tcPr>
          <w:p w14:paraId="150CED4A">
            <w:pPr>
              <w:spacing w:before="40" w:after="40" w:line="280" w:lineRule="exact"/>
            </w:pPr>
            <w:r>
              <w:rPr>
                <w:rFonts w:ascii="Arial Unicode MS" w:hAnsi="Arial Unicode MS" w:eastAsia="Arial Unicode MS"/>
                <w:b w:val="0"/>
                <w:color w:val="000000"/>
                <w:sz w:val="20"/>
              </w:rPr>
              <w:t>KN0 零差云控信息系统 V20261015 及 KN0A V02.09</w:t>
            </w:r>
          </w:p>
        </w:tc>
        <w:tc>
          <w:tcPr>
            <w:tcW w:w="2520" w:type="dxa"/>
            <w:vAlign w:val="center"/>
          </w:tcPr>
          <w:p w14:paraId="08D7EA1A">
            <w:pPr>
              <w:spacing w:before="40" w:after="40" w:line="280" w:lineRule="exact"/>
            </w:pPr>
            <w:r>
              <w:rPr>
                <w:rFonts w:ascii="Arial Unicode MS" w:hAnsi="Arial Unicode MS" w:eastAsia="Arial Unicode MS"/>
                <w:b w:val="0"/>
                <w:color w:val="000000"/>
                <w:sz w:val="20"/>
              </w:rPr>
              <w:t>责任位规则 §2.2.3.2及§3.2</w:t>
            </w:r>
          </w:p>
        </w:tc>
      </w:tr>
      <w:tr w14:paraId="78FF3B90">
        <w:trPr>
          <w:cantSplit/>
          <w:jc w:val="center"/>
        </w:trPr>
        <w:tc>
          <w:tcPr>
            <w:tcW w:w="720" w:type="dxa"/>
            <w:shd w:val="clear" w:color="auto" w:fill="F1F5F8"/>
            <w:vAlign w:val="center"/>
          </w:tcPr>
          <w:p w14:paraId="3B0F1BE5">
            <w:pPr>
              <w:spacing w:before="40" w:after="40" w:line="280" w:lineRule="exact"/>
              <w:jc w:val="center"/>
            </w:pPr>
            <w:r>
              <w:rPr>
                <w:rFonts w:ascii="Arial Unicode MS" w:hAnsi="Arial Unicode MS" w:eastAsia="Arial Unicode MS"/>
                <w:b w:val="0"/>
                <w:color w:val="000000"/>
                <w:sz w:val="20"/>
              </w:rPr>
              <w:t>S14</w:t>
            </w:r>
          </w:p>
        </w:tc>
        <w:tc>
          <w:tcPr>
            <w:tcW w:w="6768" w:type="dxa"/>
            <w:shd w:val="clear" w:color="auto" w:fill="F1F5F8"/>
            <w:vAlign w:val="center"/>
          </w:tcPr>
          <w:p w14:paraId="56131B17">
            <w:pPr>
              <w:spacing w:before="40" w:after="40" w:line="280" w:lineRule="exact"/>
            </w:pPr>
            <w:r>
              <w:rPr>
                <w:rFonts w:ascii="Arial Unicode MS" w:hAnsi="Arial Unicode MS" w:eastAsia="Arial Unicode MS"/>
                <w:b w:val="0"/>
                <w:color w:val="000000"/>
                <w:sz w:val="20"/>
              </w:rPr>
              <w:t>IS组织目录及同步清单</w:t>
            </w:r>
          </w:p>
        </w:tc>
        <w:tc>
          <w:tcPr>
            <w:tcW w:w="2520" w:type="dxa"/>
            <w:shd w:val="clear" w:color="auto" w:fill="F1F5F8"/>
            <w:vAlign w:val="center"/>
          </w:tcPr>
          <w:p w14:paraId="4E644812">
            <w:pPr>
              <w:spacing w:before="40" w:after="40" w:line="280" w:lineRule="exact"/>
            </w:pPr>
            <w:r>
              <w:rPr>
                <w:rFonts w:ascii="Arial Unicode MS" w:hAnsi="Arial Unicode MS" w:eastAsia="Arial Unicode MS"/>
                <w:b w:val="0"/>
                <w:color w:val="000000"/>
                <w:sz w:val="20"/>
              </w:rPr>
              <w:t>2026年10月16日本地镜像</w:t>
            </w:r>
          </w:p>
        </w:tc>
      </w:tr>
      <w:tr w14:paraId="1D8AC503">
        <w:trPr>
          <w:cantSplit/>
          <w:jc w:val="center"/>
        </w:trPr>
        <w:tc>
          <w:tcPr>
            <w:tcW w:w="720" w:type="dxa"/>
            <w:vAlign w:val="center"/>
          </w:tcPr>
          <w:p w14:paraId="4D80F6FF">
            <w:pPr>
              <w:spacing w:before="40" w:after="40" w:line="280" w:lineRule="exact"/>
              <w:jc w:val="center"/>
            </w:pPr>
            <w:r>
              <w:rPr>
                <w:rFonts w:ascii="Arial Unicode MS" w:hAnsi="Arial Unicode MS" w:eastAsia="Arial Unicode MS"/>
                <w:b w:val="0"/>
                <w:color w:val="000000"/>
                <w:sz w:val="20"/>
              </w:rPr>
              <w:t>S15</w:t>
            </w:r>
          </w:p>
        </w:tc>
        <w:tc>
          <w:tcPr>
            <w:tcW w:w="6768" w:type="dxa"/>
            <w:vAlign w:val="center"/>
          </w:tcPr>
          <w:p w14:paraId="7F96E1FC">
            <w:pPr>
              <w:spacing w:before="40" w:after="40" w:line="280" w:lineRule="exact"/>
            </w:pPr>
            <w:r>
              <w:rPr>
                <w:rFonts w:ascii="Arial Unicode MS" w:hAnsi="Arial Unicode MS" w:eastAsia="Arial Unicode MS"/>
                <w:b w:val="0"/>
                <w:color w:val="000000"/>
                <w:sz w:val="20"/>
              </w:rPr>
              <w:t>质量部门调研智能纪要</w:t>
            </w:r>
          </w:p>
        </w:tc>
        <w:tc>
          <w:tcPr>
            <w:tcW w:w="2520" w:type="dxa"/>
            <w:vAlign w:val="center"/>
          </w:tcPr>
          <w:p w14:paraId="42C8B446">
            <w:pPr>
              <w:spacing w:before="40" w:after="40" w:line="280" w:lineRule="exact"/>
            </w:pPr>
            <w:r>
              <w:rPr>
                <w:rFonts w:ascii="Arial Unicode MS" w:hAnsi="Arial Unicode MS" w:eastAsia="Arial Unicode MS"/>
                <w:b w:val="0"/>
                <w:color w:val="000000"/>
                <w:sz w:val="20"/>
              </w:rPr>
              <w:t>2026年10月20日</w:t>
            </w:r>
          </w:p>
        </w:tc>
      </w:tr>
      <w:tr w14:paraId="679EA733">
        <w:trPr>
          <w:cantSplit/>
          <w:jc w:val="center"/>
        </w:trPr>
        <w:tc>
          <w:tcPr>
            <w:tcW w:w="720" w:type="dxa"/>
            <w:shd w:val="clear" w:color="auto" w:fill="F1F5F8"/>
            <w:vAlign w:val="center"/>
          </w:tcPr>
          <w:p w14:paraId="72CE702C">
            <w:pPr>
              <w:spacing w:before="40" w:after="40" w:line="280" w:lineRule="exact"/>
              <w:jc w:val="center"/>
            </w:pPr>
            <w:r>
              <w:rPr>
                <w:rFonts w:ascii="Arial Unicode MS" w:hAnsi="Arial Unicode MS" w:eastAsia="Arial Unicode MS"/>
                <w:b w:val="0"/>
                <w:color w:val="000000"/>
                <w:sz w:val="20"/>
              </w:rPr>
              <w:t>S16</w:t>
            </w:r>
          </w:p>
        </w:tc>
        <w:tc>
          <w:tcPr>
            <w:tcW w:w="6768" w:type="dxa"/>
            <w:shd w:val="clear" w:color="auto" w:fill="F1F5F8"/>
            <w:vAlign w:val="center"/>
          </w:tcPr>
          <w:p w14:paraId="6326F1EE">
            <w:pPr>
              <w:spacing w:before="40" w:after="40" w:line="280" w:lineRule="exact"/>
            </w:pPr>
            <w:r>
              <w:rPr>
                <w:rFonts w:ascii="Arial Unicode MS" w:hAnsi="Arial Unicode MS" w:eastAsia="Arial Unicode MS"/>
                <w:b w:val="0"/>
                <w:color w:val="000000"/>
                <w:sz w:val="20"/>
              </w:rPr>
              <w:t>MOM调研待确认与补充事项V2.1用户回复及补充澄清</w:t>
            </w:r>
          </w:p>
        </w:tc>
        <w:tc>
          <w:tcPr>
            <w:tcW w:w="2520" w:type="dxa"/>
            <w:shd w:val="clear" w:color="auto" w:fill="F1F5F8"/>
            <w:vAlign w:val="center"/>
          </w:tcPr>
          <w:p w14:paraId="749FD998">
            <w:pPr>
              <w:spacing w:before="40" w:after="40" w:line="280" w:lineRule="exact"/>
            </w:pPr>
            <w:r>
              <w:rPr>
                <w:rFonts w:ascii="Arial Unicode MS" w:hAnsi="Arial Unicode MS" w:eastAsia="Arial Unicode MS"/>
                <w:b w:val="0"/>
                <w:color w:val="000000"/>
                <w:sz w:val="20"/>
              </w:rPr>
              <w:t>C01 C02 C10；2026年10月20日</w:t>
            </w:r>
          </w:p>
        </w:tc>
      </w:tr>
      <w:tr w14:paraId="6F800DB0">
        <w:trPr>
          <w:cantSplit/>
          <w:jc w:val="center"/>
        </w:trPr>
        <w:tc>
          <w:tcPr>
            <w:tcW w:w="720" w:type="dxa"/>
            <w:vAlign w:val="center"/>
          </w:tcPr>
          <w:p w14:paraId="409E482E">
            <w:pPr>
              <w:spacing w:before="40" w:after="40" w:line="280" w:lineRule="exact"/>
              <w:jc w:val="center"/>
            </w:pPr>
            <w:r>
              <w:rPr>
                <w:rFonts w:ascii="Arial Unicode MS" w:hAnsi="Arial Unicode MS" w:eastAsia="Arial Unicode MS"/>
                <w:b w:val="0"/>
                <w:color w:val="000000"/>
                <w:sz w:val="20"/>
              </w:rPr>
              <w:t>S17</w:t>
            </w:r>
          </w:p>
        </w:tc>
        <w:tc>
          <w:tcPr>
            <w:tcW w:w="6768" w:type="dxa"/>
            <w:vAlign w:val="center"/>
          </w:tcPr>
          <w:p w14:paraId="45263A4F">
            <w:pPr>
              <w:spacing w:before="40" w:after="40" w:line="280" w:lineRule="exact"/>
            </w:pPr>
            <w:r>
              <w:fldChar w:fldCharType="begin"/>
            </w:r>
            <w:r>
              <w:instrText xml:space="preserve"> HYPERLINK "https://fcnpndc2ochr.feishu.cn/docx/Rc2Ydv3jNo5Djxx6zLNcY4BHnKI" \h </w:instrText>
            </w:r>
            <w:r>
              <w:fldChar w:fldCharType="separate"/>
            </w:r>
            <w:r>
              <w:rPr>
                <w:rFonts w:ascii="Arial Unicode MS" w:hAnsi="Arial Unicode MS" w:eastAsia="Arial Unicode MS"/>
                <w:color w:val="0563C1"/>
                <w:sz w:val="20"/>
              </w:rPr>
              <w:t>质量过程检补充调研智能纪要</w:t>
            </w:r>
            <w:r>
              <w:rPr>
                <w:rFonts w:ascii="Arial Unicode MS" w:hAnsi="Arial Unicode MS" w:eastAsia="Arial Unicode MS"/>
                <w:color w:val="0563C1"/>
                <w:sz w:val="20"/>
              </w:rPr>
              <w:fldChar w:fldCharType="end"/>
            </w:r>
          </w:p>
        </w:tc>
        <w:tc>
          <w:tcPr>
            <w:tcW w:w="2520" w:type="dxa"/>
            <w:vAlign w:val="center"/>
          </w:tcPr>
          <w:p w14:paraId="2B5CAFBB">
            <w:pPr>
              <w:spacing w:before="40" w:after="40" w:line="280" w:lineRule="exact"/>
            </w:pPr>
            <w:r>
              <w:rPr>
                <w:rFonts w:ascii="Arial Unicode MS" w:hAnsi="Arial Unicode MS" w:eastAsia="Arial Unicode MS"/>
                <w:b w:val="0"/>
                <w:color w:val="000000"/>
                <w:sz w:val="20"/>
              </w:rPr>
              <w:t>2026年10月23日；结合S17T核对</w:t>
            </w:r>
          </w:p>
        </w:tc>
      </w:tr>
      <w:tr w14:paraId="2C65A2D0">
        <w:trPr>
          <w:cantSplit/>
          <w:jc w:val="center"/>
        </w:trPr>
        <w:tc>
          <w:tcPr>
            <w:tcW w:w="720" w:type="dxa"/>
            <w:shd w:val="clear" w:color="auto" w:fill="F1F5F8"/>
            <w:vAlign w:val="center"/>
          </w:tcPr>
          <w:p w14:paraId="1F53845C">
            <w:pPr>
              <w:spacing w:before="40" w:after="40" w:line="280" w:lineRule="exact"/>
              <w:jc w:val="center"/>
            </w:pPr>
            <w:r>
              <w:rPr>
                <w:rFonts w:ascii="Arial Unicode MS" w:hAnsi="Arial Unicode MS" w:eastAsia="Arial Unicode MS"/>
                <w:b w:val="0"/>
                <w:color w:val="000000"/>
                <w:sz w:val="20"/>
              </w:rPr>
              <w:t>S18</w:t>
            </w:r>
          </w:p>
        </w:tc>
        <w:tc>
          <w:tcPr>
            <w:tcW w:w="6768" w:type="dxa"/>
            <w:shd w:val="clear" w:color="auto" w:fill="F1F5F8"/>
            <w:vAlign w:val="center"/>
          </w:tcPr>
          <w:p w14:paraId="7CEFC496">
            <w:pPr>
              <w:spacing w:before="40" w:after="40" w:line="280" w:lineRule="exact"/>
            </w:pPr>
            <w:r>
              <w:fldChar w:fldCharType="begin"/>
            </w:r>
            <w:r>
              <w:instrText xml:space="preserve"> HYPERLINK "https://fcnpndc2ochr.feishu.cn/docx/ZwNPddEjVoXh6jxJ6c3csSa3nIh" \h </w:instrText>
            </w:r>
            <w:r>
              <w:fldChar w:fldCharType="separate"/>
            </w:r>
            <w:r>
              <w:rPr>
                <w:rFonts w:ascii="Arial Unicode MS" w:hAnsi="Arial Unicode MS" w:eastAsia="Arial Unicode MS"/>
                <w:color w:val="0563C1"/>
                <w:sz w:val="20"/>
              </w:rPr>
              <w:t>生产细节与系统操作智能纪要</w:t>
            </w:r>
            <w:r>
              <w:rPr>
                <w:rFonts w:ascii="Arial Unicode MS" w:hAnsi="Arial Unicode MS" w:eastAsia="Arial Unicode MS"/>
                <w:color w:val="0563C1"/>
                <w:sz w:val="20"/>
              </w:rPr>
              <w:fldChar w:fldCharType="end"/>
            </w:r>
          </w:p>
        </w:tc>
        <w:tc>
          <w:tcPr>
            <w:tcW w:w="2520" w:type="dxa"/>
            <w:shd w:val="clear" w:color="auto" w:fill="F1F5F8"/>
            <w:vAlign w:val="center"/>
          </w:tcPr>
          <w:p w14:paraId="10B0E7CC">
            <w:pPr>
              <w:spacing w:before="40" w:after="40" w:line="280" w:lineRule="exact"/>
            </w:pPr>
            <w:r>
              <w:rPr>
                <w:rFonts w:ascii="Arial Unicode MS" w:hAnsi="Arial Unicode MS" w:eastAsia="Arial Unicode MS"/>
                <w:b w:val="0"/>
                <w:color w:val="000000"/>
                <w:sz w:val="20"/>
              </w:rPr>
              <w:t>2026年10月23日；结合S18T核对</w:t>
            </w:r>
          </w:p>
        </w:tc>
      </w:tr>
      <w:tr w14:paraId="34207F27">
        <w:trPr>
          <w:cantSplit/>
          <w:jc w:val="center"/>
        </w:trPr>
        <w:tc>
          <w:tcPr>
            <w:tcW w:w="720" w:type="dxa"/>
            <w:vAlign w:val="center"/>
          </w:tcPr>
          <w:p w14:paraId="3CBB21BD">
            <w:pPr>
              <w:spacing w:before="40" w:after="40" w:line="280" w:lineRule="exact"/>
              <w:jc w:val="center"/>
            </w:pPr>
            <w:r>
              <w:rPr>
                <w:rFonts w:ascii="Arial Unicode MS" w:hAnsi="Arial Unicode MS" w:eastAsia="Arial Unicode MS"/>
                <w:b w:val="0"/>
                <w:color w:val="000000"/>
                <w:sz w:val="20"/>
              </w:rPr>
              <w:t>S19</w:t>
            </w:r>
          </w:p>
        </w:tc>
        <w:tc>
          <w:tcPr>
            <w:tcW w:w="6768" w:type="dxa"/>
            <w:vAlign w:val="center"/>
          </w:tcPr>
          <w:p w14:paraId="1D50060E">
            <w:pPr>
              <w:spacing w:before="40" w:after="40" w:line="280" w:lineRule="exact"/>
            </w:pPr>
            <w:r>
              <w:fldChar w:fldCharType="begin"/>
            </w:r>
            <w:r>
              <w:instrText xml:space="preserve"> HYPERLINK "https://fcnpndc2ochr.feishu.cn/docx/C5t3dVDqKoGOpexjIgMc1rijnBb" \h </w:instrText>
            </w:r>
            <w:r>
              <w:fldChar w:fldCharType="separate"/>
            </w:r>
            <w:r>
              <w:rPr>
                <w:rFonts w:ascii="Arial Unicode MS" w:hAnsi="Arial Unicode MS" w:eastAsia="Arial Unicode MS"/>
                <w:color w:val="0563C1"/>
                <w:sz w:val="20"/>
              </w:rPr>
              <w:t>品质文员排检与日报智能纪要</w:t>
            </w:r>
            <w:r>
              <w:rPr>
                <w:rFonts w:ascii="Arial Unicode MS" w:hAnsi="Arial Unicode MS" w:eastAsia="Arial Unicode MS"/>
                <w:color w:val="0563C1"/>
                <w:sz w:val="20"/>
              </w:rPr>
              <w:fldChar w:fldCharType="end"/>
            </w:r>
          </w:p>
        </w:tc>
        <w:tc>
          <w:tcPr>
            <w:tcW w:w="2520" w:type="dxa"/>
            <w:vAlign w:val="center"/>
          </w:tcPr>
          <w:p w14:paraId="0C729129">
            <w:pPr>
              <w:spacing w:before="40" w:after="40" w:line="280" w:lineRule="exact"/>
            </w:pPr>
            <w:r>
              <w:rPr>
                <w:rFonts w:ascii="Arial Unicode MS" w:hAnsi="Arial Unicode MS" w:eastAsia="Arial Unicode MS"/>
                <w:b w:val="0"/>
                <w:color w:val="000000"/>
                <w:sz w:val="20"/>
              </w:rPr>
              <w:t>2026年10月23日；结合S19T核对</w:t>
            </w:r>
          </w:p>
        </w:tc>
      </w:tr>
      <w:tr w14:paraId="0A24E66D">
        <w:trPr>
          <w:cantSplit/>
          <w:jc w:val="center"/>
        </w:trPr>
        <w:tc>
          <w:tcPr>
            <w:tcW w:w="720" w:type="dxa"/>
            <w:shd w:val="clear" w:color="auto" w:fill="F1F5F8"/>
            <w:vAlign w:val="center"/>
          </w:tcPr>
          <w:p w14:paraId="6527F4CE">
            <w:pPr>
              <w:spacing w:before="40" w:after="40" w:line="280" w:lineRule="exact"/>
              <w:jc w:val="center"/>
            </w:pPr>
            <w:r>
              <w:rPr>
                <w:rFonts w:ascii="Arial Unicode MS" w:hAnsi="Arial Unicode MS" w:eastAsia="Arial Unicode MS"/>
                <w:b w:val="0"/>
                <w:color w:val="000000"/>
                <w:sz w:val="20"/>
              </w:rPr>
              <w:t>S20</w:t>
            </w:r>
          </w:p>
        </w:tc>
        <w:tc>
          <w:tcPr>
            <w:tcW w:w="6768" w:type="dxa"/>
            <w:shd w:val="clear" w:color="auto" w:fill="F1F5F8"/>
            <w:vAlign w:val="center"/>
          </w:tcPr>
          <w:p w14:paraId="54A1FCDF">
            <w:pPr>
              <w:spacing w:before="40" w:after="40" w:line="280" w:lineRule="exact"/>
            </w:pPr>
            <w:r>
              <w:fldChar w:fldCharType="begin"/>
            </w:r>
            <w:r>
              <w:instrText xml:space="preserve"> HYPERLINK "https://fcnpndc2ochr.feishu.cn/docx/Q5hrdDD6YotGfjxpjlUcGCyvn5d" \h </w:instrText>
            </w:r>
            <w:r>
              <w:fldChar w:fldCharType="separate"/>
            </w:r>
            <w:r>
              <w:rPr>
                <w:rFonts w:ascii="Arial Unicode MS" w:hAnsi="Arial Unicode MS" w:eastAsia="Arial Unicode MS"/>
                <w:color w:val="0563C1"/>
                <w:sz w:val="20"/>
              </w:rPr>
              <w:t>生产文员排班与执行智能纪要</w:t>
            </w:r>
            <w:r>
              <w:rPr>
                <w:rFonts w:ascii="Arial Unicode MS" w:hAnsi="Arial Unicode MS" w:eastAsia="Arial Unicode MS"/>
                <w:color w:val="0563C1"/>
                <w:sz w:val="20"/>
              </w:rPr>
              <w:fldChar w:fldCharType="end"/>
            </w:r>
          </w:p>
        </w:tc>
        <w:tc>
          <w:tcPr>
            <w:tcW w:w="2520" w:type="dxa"/>
            <w:shd w:val="clear" w:color="auto" w:fill="F1F5F8"/>
            <w:vAlign w:val="center"/>
          </w:tcPr>
          <w:p w14:paraId="63A48E1E">
            <w:pPr>
              <w:spacing w:before="40" w:after="40" w:line="280" w:lineRule="exact"/>
            </w:pPr>
            <w:r>
              <w:rPr>
                <w:rFonts w:ascii="Arial Unicode MS" w:hAnsi="Arial Unicode MS" w:eastAsia="Arial Unicode MS"/>
                <w:b w:val="0"/>
                <w:color w:val="000000"/>
                <w:sz w:val="20"/>
              </w:rPr>
              <w:t>2026年10月23日；结合S20T核对</w:t>
            </w:r>
          </w:p>
        </w:tc>
      </w:tr>
      <w:tr w14:paraId="7B7C9C78">
        <w:trPr>
          <w:cantSplit/>
          <w:jc w:val="center"/>
        </w:trPr>
        <w:tc>
          <w:tcPr>
            <w:tcW w:w="720" w:type="dxa"/>
            <w:vAlign w:val="center"/>
          </w:tcPr>
          <w:p w14:paraId="5FDCE2B3">
            <w:pPr>
              <w:spacing w:before="40" w:after="40" w:line="280" w:lineRule="exact"/>
              <w:jc w:val="center"/>
            </w:pPr>
            <w:r>
              <w:rPr>
                <w:rFonts w:ascii="Arial Unicode MS" w:hAnsi="Arial Unicode MS" w:eastAsia="Arial Unicode MS"/>
                <w:b w:val="0"/>
                <w:color w:val="000000"/>
                <w:sz w:val="20"/>
              </w:rPr>
              <w:t>S21</w:t>
            </w:r>
          </w:p>
        </w:tc>
        <w:tc>
          <w:tcPr>
            <w:tcW w:w="6768" w:type="dxa"/>
            <w:vAlign w:val="center"/>
          </w:tcPr>
          <w:p w14:paraId="7980D27D">
            <w:pPr>
              <w:spacing w:before="40" w:after="40" w:line="280" w:lineRule="exact"/>
            </w:pPr>
            <w:r>
              <w:fldChar w:fldCharType="begin"/>
            </w:r>
            <w:r>
              <w:instrText xml:space="preserve"> HYPERLINK "https://fcnpndc2ochr.feishu.cn/docx/AQIhdBw2Zo7bemx88PicyFaFnGh" \h </w:instrText>
            </w:r>
            <w:r>
              <w:fldChar w:fldCharType="separate"/>
            </w:r>
            <w:r>
              <w:rPr>
                <w:rFonts w:ascii="Arial Unicode MS" w:hAnsi="Arial Unicode MS" w:eastAsia="Arial Unicode MS"/>
                <w:color w:val="0563C1"/>
                <w:sz w:val="20"/>
              </w:rPr>
              <w:t>机加工文员生产与交接智能纪要</w:t>
            </w:r>
            <w:r>
              <w:rPr>
                <w:rFonts w:ascii="Arial Unicode MS" w:hAnsi="Arial Unicode MS" w:eastAsia="Arial Unicode MS"/>
                <w:color w:val="0563C1"/>
                <w:sz w:val="20"/>
              </w:rPr>
              <w:fldChar w:fldCharType="end"/>
            </w:r>
          </w:p>
        </w:tc>
        <w:tc>
          <w:tcPr>
            <w:tcW w:w="2520" w:type="dxa"/>
            <w:vAlign w:val="center"/>
          </w:tcPr>
          <w:p w14:paraId="03B75A46">
            <w:pPr>
              <w:spacing w:before="40" w:after="40" w:line="280" w:lineRule="exact"/>
            </w:pPr>
            <w:r>
              <w:rPr>
                <w:rFonts w:ascii="Arial Unicode MS" w:hAnsi="Arial Unicode MS" w:eastAsia="Arial Unicode MS"/>
                <w:b w:val="0"/>
                <w:color w:val="000000"/>
                <w:sz w:val="20"/>
              </w:rPr>
              <w:t>2026年10月23日；结合S21T核对</w:t>
            </w:r>
          </w:p>
        </w:tc>
      </w:tr>
    </w:tbl>
    <w:p w14:paraId="6147450F">
      <w:pPr>
        <w:spacing w:before="20" w:after="20" w:line="120" w:lineRule="auto"/>
      </w:pPr>
    </w:p>
    <w:p w14:paraId="721EA1E9">
      <w:pPr>
        <w:pStyle w:val="4"/>
        <w:pageBreakBefore w:val="0"/>
      </w:pPr>
      <w:r>
        <w:rPr>
          <w:rFonts w:ascii="Arial Unicode MS" w:hAnsi="Arial Unicode MS" w:eastAsia="Arial Unicode MS"/>
          <w:b/>
          <w:color w:val="000000"/>
        </w:rPr>
        <w:t>关联文字记录</w:t>
      </w:r>
    </w:p>
    <w:p w14:paraId="2E8CBD7C">
      <w:pPr>
        <w:spacing w:after="40" w:line="280" w:lineRule="exact"/>
      </w:pPr>
      <w:r>
        <w:rPr>
          <w:rFonts w:ascii="Arial Unicode MS" w:hAnsi="Arial Unicode MS" w:eastAsia="Arial Unicode MS"/>
          <w:color w:val="000000"/>
          <w:sz w:val="20"/>
        </w:rPr>
        <w:t xml:space="preserve">S02T </w:t>
      </w:r>
      <w:r>
        <w:fldChar w:fldCharType="begin"/>
      </w:r>
      <w:r>
        <w:instrText xml:space="preserve"> HYPERLINK "https://fcnpndc2ochr.feishu.cn/docx/CiW8dkny0onQt8xBecYc1PCQnHc" \h </w:instrText>
      </w:r>
      <w:r>
        <w:fldChar w:fldCharType="separate"/>
      </w:r>
      <w:r>
        <w:rPr>
          <w:rFonts w:ascii="Arial Unicode MS" w:hAnsi="Arial Unicode MS" w:eastAsia="Arial Unicode MS"/>
          <w:color w:val="000000"/>
          <w:sz w:val="20"/>
        </w:rPr>
        <w:t>计划文字记录</w:t>
      </w:r>
      <w:r>
        <w:rPr>
          <w:rFonts w:ascii="Arial Unicode MS" w:hAnsi="Arial Unicode MS" w:eastAsia="Arial Unicode MS"/>
          <w:color w:val="000000"/>
          <w:sz w:val="20"/>
        </w:rPr>
        <w:fldChar w:fldCharType="end"/>
      </w:r>
    </w:p>
    <w:p w14:paraId="399976E9">
      <w:pPr>
        <w:spacing w:after="40" w:line="280" w:lineRule="exact"/>
      </w:pPr>
      <w:r>
        <w:rPr>
          <w:rFonts w:ascii="Arial Unicode MS" w:hAnsi="Arial Unicode MS" w:eastAsia="Arial Unicode MS"/>
          <w:color w:val="000000"/>
          <w:sz w:val="20"/>
        </w:rPr>
        <w:t xml:space="preserve">S05T </w:t>
      </w:r>
      <w:r>
        <w:fldChar w:fldCharType="begin"/>
      </w:r>
      <w:r>
        <w:instrText xml:space="preserve"> HYPERLINK "https://fcnpndc2ochr.feishu.cn/docx/IpGvdXACqoObCKx2nTOcCMU0nGf" \h </w:instrText>
      </w:r>
      <w:r>
        <w:fldChar w:fldCharType="separate"/>
      </w:r>
      <w:r>
        <w:rPr>
          <w:rFonts w:ascii="Arial Unicode MS" w:hAnsi="Arial Unicode MS" w:eastAsia="Arial Unicode MS"/>
          <w:color w:val="000000"/>
          <w:sz w:val="20"/>
        </w:rPr>
        <w:t>生产文字记录</w:t>
      </w:r>
      <w:r>
        <w:rPr>
          <w:rFonts w:ascii="Arial Unicode MS" w:hAnsi="Arial Unicode MS" w:eastAsia="Arial Unicode MS"/>
          <w:color w:val="000000"/>
          <w:sz w:val="20"/>
        </w:rPr>
        <w:fldChar w:fldCharType="end"/>
      </w:r>
    </w:p>
    <w:p w14:paraId="60CD07C5">
      <w:pPr>
        <w:spacing w:after="40" w:line="280" w:lineRule="exact"/>
      </w:pPr>
      <w:r>
        <w:rPr>
          <w:rFonts w:ascii="Arial Unicode MS" w:hAnsi="Arial Unicode MS" w:eastAsia="Arial Unicode MS"/>
          <w:color w:val="000000"/>
          <w:sz w:val="20"/>
        </w:rPr>
        <w:t xml:space="preserve">S06T </w:t>
      </w:r>
      <w:r>
        <w:fldChar w:fldCharType="begin"/>
      </w:r>
      <w:r>
        <w:instrText xml:space="preserve"> HYPERLINK "https://fcnpndc2ochr.feishu.cn/docx/UX7vd01TxoroKPxqHctcS0pYn2f" \h </w:instrText>
      </w:r>
      <w:r>
        <w:fldChar w:fldCharType="separate"/>
      </w:r>
      <w:r>
        <w:rPr>
          <w:rFonts w:ascii="Arial Unicode MS" w:hAnsi="Arial Unicode MS" w:eastAsia="Arial Unicode MS"/>
          <w:color w:val="000000"/>
          <w:sz w:val="20"/>
        </w:rPr>
        <w:t>NPI文字记录</w:t>
      </w:r>
      <w:r>
        <w:rPr>
          <w:rFonts w:ascii="Arial Unicode MS" w:hAnsi="Arial Unicode MS" w:eastAsia="Arial Unicode MS"/>
          <w:color w:val="000000"/>
          <w:sz w:val="20"/>
        </w:rPr>
        <w:fldChar w:fldCharType="end"/>
      </w:r>
    </w:p>
    <w:p w14:paraId="528858FB">
      <w:pPr>
        <w:spacing w:after="40" w:line="280" w:lineRule="exact"/>
      </w:pPr>
      <w:r>
        <w:rPr>
          <w:rFonts w:ascii="Arial Unicode MS" w:hAnsi="Arial Unicode MS" w:eastAsia="Arial Unicode MS"/>
          <w:color w:val="000000"/>
          <w:sz w:val="20"/>
        </w:rPr>
        <w:t xml:space="preserve">S10T </w:t>
      </w:r>
      <w:r>
        <w:fldChar w:fldCharType="begin"/>
      </w:r>
      <w:r>
        <w:instrText xml:space="preserve"> HYPERLINK "https://fcnpndc2ochr.feishu.cn/docx/E4f2dGXiOoHtonxBI62cxfa1ngn" \h </w:instrText>
      </w:r>
      <w:r>
        <w:fldChar w:fldCharType="separate"/>
      </w:r>
      <w:r>
        <w:rPr>
          <w:rFonts w:ascii="Arial Unicode MS" w:hAnsi="Arial Unicode MS" w:eastAsia="Arial Unicode MS"/>
          <w:color w:val="000000"/>
          <w:sz w:val="20"/>
        </w:rPr>
        <w:t>仓储文字记录</w:t>
      </w:r>
      <w:r>
        <w:rPr>
          <w:rFonts w:ascii="Arial Unicode MS" w:hAnsi="Arial Unicode MS" w:eastAsia="Arial Unicode MS"/>
          <w:color w:val="000000"/>
          <w:sz w:val="20"/>
        </w:rPr>
        <w:fldChar w:fldCharType="end"/>
      </w:r>
    </w:p>
    <w:p w14:paraId="608976BA">
      <w:r>
        <w:fldChar w:fldCharType="begin"/>
      </w:r>
      <w:r>
        <w:instrText xml:space="preserve"> HYPERLINK "https://fcnpndc2ochr.feishu.cn/docx/GBhHdPw0do4VSSxpA3ac8kFOnmc" \h </w:instrText>
      </w:r>
      <w:r>
        <w:fldChar w:fldCharType="separate"/>
      </w:r>
      <w:r>
        <w:rPr>
          <w:rFonts w:ascii="Arial Unicode MS" w:hAnsi="Arial Unicode MS" w:eastAsia="Arial Unicode MS"/>
          <w:color w:val="0563C1"/>
          <w:sz w:val="22"/>
        </w:rPr>
        <w:t>S15T 质量调研关联文字记录</w:t>
      </w:r>
      <w:r>
        <w:rPr>
          <w:rFonts w:ascii="Arial Unicode MS" w:hAnsi="Arial Unicode MS" w:eastAsia="Arial Unicode MS"/>
          <w:color w:val="0563C1"/>
          <w:sz w:val="22"/>
        </w:rPr>
        <w:fldChar w:fldCharType="end"/>
      </w:r>
    </w:p>
    <w:p w14:paraId="1FDAB624">
      <w:r>
        <w:fldChar w:fldCharType="begin"/>
      </w:r>
      <w:r>
        <w:instrText xml:space="preserve"> HYPERLINK "https://fcnpndc2ochr.feishu.cn/docx/Umzod4uwkor9vUx4ENKcSSNBnef" \h </w:instrText>
      </w:r>
      <w:r>
        <w:fldChar w:fldCharType="separate"/>
      </w:r>
      <w:r>
        <w:rPr>
          <w:rFonts w:ascii="Arial Unicode MS" w:hAnsi="Arial Unicode MS" w:eastAsia="Arial Unicode MS"/>
          <w:color w:val="0563C1"/>
          <w:sz w:val="20"/>
        </w:rPr>
        <w:t>S17T 质量过程检补充调研关联文字记录</w:t>
      </w:r>
      <w:r>
        <w:rPr>
          <w:rFonts w:ascii="Arial Unicode MS" w:hAnsi="Arial Unicode MS" w:eastAsia="Arial Unicode MS"/>
          <w:color w:val="0563C1"/>
          <w:sz w:val="20"/>
        </w:rPr>
        <w:fldChar w:fldCharType="end"/>
      </w:r>
    </w:p>
    <w:p w14:paraId="4E303DF6">
      <w:r>
        <w:fldChar w:fldCharType="begin"/>
      </w:r>
      <w:r>
        <w:instrText xml:space="preserve"> HYPERLINK "https://fcnpndc2ochr.feishu.cn/docx/PkQed98ecodUeExpJAKcjtHGn0e" \h </w:instrText>
      </w:r>
      <w:r>
        <w:fldChar w:fldCharType="separate"/>
      </w:r>
      <w:r>
        <w:rPr>
          <w:rFonts w:ascii="Arial Unicode MS" w:hAnsi="Arial Unicode MS" w:eastAsia="Arial Unicode MS"/>
          <w:color w:val="0563C1"/>
          <w:sz w:val="20"/>
        </w:rPr>
        <w:t>S18T 生产细节与系统操作关联文字记录</w:t>
      </w:r>
      <w:r>
        <w:rPr>
          <w:rFonts w:ascii="Arial Unicode MS" w:hAnsi="Arial Unicode MS" w:eastAsia="Arial Unicode MS"/>
          <w:color w:val="0563C1"/>
          <w:sz w:val="20"/>
        </w:rPr>
        <w:fldChar w:fldCharType="end"/>
      </w:r>
    </w:p>
    <w:p w14:paraId="245BED29">
      <w:r>
        <w:fldChar w:fldCharType="begin"/>
      </w:r>
      <w:r>
        <w:instrText xml:space="preserve"> HYPERLINK "https://fcnpndc2ochr.feishu.cn/docx/IWcpdmRYjogNUmxvI26c0wmknne" \h </w:instrText>
      </w:r>
      <w:r>
        <w:fldChar w:fldCharType="separate"/>
      </w:r>
      <w:r>
        <w:rPr>
          <w:rFonts w:ascii="Arial Unicode MS" w:hAnsi="Arial Unicode MS" w:eastAsia="Arial Unicode MS"/>
          <w:color w:val="0563C1"/>
          <w:sz w:val="20"/>
        </w:rPr>
        <w:t>S19T 品质文员排检与日报关联文字记录</w:t>
      </w:r>
      <w:r>
        <w:rPr>
          <w:rFonts w:ascii="Arial Unicode MS" w:hAnsi="Arial Unicode MS" w:eastAsia="Arial Unicode MS"/>
          <w:color w:val="0563C1"/>
          <w:sz w:val="20"/>
        </w:rPr>
        <w:fldChar w:fldCharType="end"/>
      </w:r>
    </w:p>
    <w:p w14:paraId="1D89CF35">
      <w:r>
        <w:fldChar w:fldCharType="begin"/>
      </w:r>
      <w:r>
        <w:instrText xml:space="preserve"> HYPERLINK "https://fcnpndc2ochr.feishu.cn/docx/PiMbdIgEYooN71xbEMTcL2TanKd" \h </w:instrText>
      </w:r>
      <w:r>
        <w:fldChar w:fldCharType="separate"/>
      </w:r>
      <w:r>
        <w:rPr>
          <w:rFonts w:ascii="Arial Unicode MS" w:hAnsi="Arial Unicode MS" w:eastAsia="Arial Unicode MS"/>
          <w:color w:val="0563C1"/>
          <w:sz w:val="20"/>
        </w:rPr>
        <w:t>S20T 生产文员排班与执行关联文字记录</w:t>
      </w:r>
      <w:r>
        <w:rPr>
          <w:rFonts w:ascii="Arial Unicode MS" w:hAnsi="Arial Unicode MS" w:eastAsia="Arial Unicode MS"/>
          <w:color w:val="0563C1"/>
          <w:sz w:val="20"/>
        </w:rPr>
        <w:fldChar w:fldCharType="end"/>
      </w:r>
    </w:p>
    <w:p w14:paraId="61933E0E">
      <w:r>
        <w:fldChar w:fldCharType="begin"/>
      </w:r>
      <w:r>
        <w:instrText xml:space="preserve"> HYPERLINK "https://fcnpndc2ochr.feishu.cn/docx/IA02dRyuaotr4vxNIrAcY6BInVb" \h </w:instrText>
      </w:r>
      <w:r>
        <w:fldChar w:fldCharType="separate"/>
      </w:r>
      <w:r>
        <w:rPr>
          <w:rFonts w:ascii="Arial Unicode MS" w:hAnsi="Arial Unicode MS" w:eastAsia="Arial Unicode MS"/>
          <w:color w:val="0563C1"/>
          <w:sz w:val="20"/>
        </w:rPr>
        <w:t>S21T 机加工文员生产与交接关联文字记录</w:t>
      </w:r>
      <w:r>
        <w:rPr>
          <w:rFonts w:ascii="Arial Unicode MS" w:hAnsi="Arial Unicode MS" w:eastAsia="Arial Unicode MS"/>
          <w:color w:val="0563C1"/>
          <w:sz w:val="20"/>
        </w:rPr>
        <w:fldChar w:fldCharType="end"/>
      </w:r>
    </w:p>
    <w:p w14:paraId="753EDD5C">
      <w:pPr>
        <w:pStyle w:val="4"/>
        <w:pageBreakBefore w:val="0"/>
      </w:pPr>
      <w:r>
        <w:rPr>
          <w:rFonts w:ascii="Arial Unicode MS" w:hAnsi="Arial Unicode MS" w:eastAsia="Arial Unicode MS"/>
          <w:b/>
          <w:color w:val="000000"/>
        </w:rPr>
        <w:t>行业能力参考</w:t>
      </w:r>
    </w:p>
    <w:p w14:paraId="55BBC29F">
      <w:pPr>
        <w:spacing w:after="40" w:line="280" w:lineRule="exact"/>
      </w:pPr>
      <w:r>
        <w:rPr>
          <w:rFonts w:ascii="Arial Unicode MS" w:hAnsi="Arial Unicode MS" w:eastAsia="Arial Unicode MS"/>
          <w:color w:val="000000"/>
          <w:sz w:val="20"/>
        </w:rPr>
        <w:t xml:space="preserve">B01 </w:t>
      </w:r>
      <w:r>
        <w:fldChar w:fldCharType="begin"/>
      </w:r>
      <w:r>
        <w:instrText xml:space="preserve"> HYPERLINK "https://www.isa.org/standards-and-publications/isa-standards/isa-95-standard" \h </w:instrText>
      </w:r>
      <w:r>
        <w:fldChar w:fldCharType="separate"/>
      </w:r>
      <w:r>
        <w:rPr>
          <w:rFonts w:ascii="Arial Unicode MS" w:hAnsi="Arial Unicode MS" w:eastAsia="Arial Unicode MS"/>
          <w:color w:val="000000"/>
          <w:sz w:val="20"/>
        </w:rPr>
        <w:t>ISA 95企业与制造运营分层</w:t>
      </w:r>
      <w:r>
        <w:rPr>
          <w:rFonts w:ascii="Arial Unicode MS" w:hAnsi="Arial Unicode MS" w:eastAsia="Arial Unicode MS"/>
          <w:color w:val="000000"/>
          <w:sz w:val="20"/>
        </w:rPr>
        <w:fldChar w:fldCharType="end"/>
      </w:r>
    </w:p>
    <w:p w14:paraId="00556B3D">
      <w:pPr>
        <w:spacing w:after="40" w:line="280" w:lineRule="exact"/>
      </w:pPr>
      <w:r>
        <w:rPr>
          <w:rFonts w:ascii="Arial Unicode MS" w:hAnsi="Arial Unicode MS" w:eastAsia="Arial Unicode MS"/>
          <w:color w:val="000000"/>
          <w:sz w:val="20"/>
        </w:rPr>
        <w:t xml:space="preserve">B02 </w:t>
      </w:r>
      <w:r>
        <w:fldChar w:fldCharType="begin"/>
      </w:r>
      <w:r>
        <w:instrText xml:space="preserve"> HYPERLINK "https://www.siemens.com/en-us/products/opcenter/execution/" \h </w:instrText>
      </w:r>
      <w:r>
        <w:fldChar w:fldCharType="separate"/>
      </w:r>
      <w:r>
        <w:rPr>
          <w:rFonts w:ascii="Arial Unicode MS" w:hAnsi="Arial Unicode MS" w:eastAsia="Arial Unicode MS"/>
          <w:color w:val="000000"/>
          <w:sz w:val="20"/>
        </w:rPr>
        <w:t>Siemens Opcenter Execution能力</w:t>
      </w:r>
      <w:r>
        <w:rPr>
          <w:rFonts w:ascii="Arial Unicode MS" w:hAnsi="Arial Unicode MS" w:eastAsia="Arial Unicode MS"/>
          <w:color w:val="000000"/>
          <w:sz w:val="20"/>
        </w:rPr>
        <w:fldChar w:fldCharType="end"/>
      </w:r>
    </w:p>
    <w:p w14:paraId="2ED6B2BD">
      <w:pPr>
        <w:spacing w:after="40" w:line="280" w:lineRule="exact"/>
      </w:pPr>
      <w:r>
        <w:rPr>
          <w:rFonts w:ascii="Arial Unicode MS" w:hAnsi="Arial Unicode MS" w:eastAsia="Arial Unicode MS"/>
          <w:color w:val="000000"/>
          <w:sz w:val="20"/>
        </w:rPr>
        <w:t xml:space="preserve">B03 </w:t>
      </w:r>
      <w:r>
        <w:fldChar w:fldCharType="begin"/>
      </w:r>
      <w:r>
        <w:instrText xml:space="preserve"> HYPERLINK "https://www.sap.com/products/scm/digital-manufacturing/features.html" \h </w:instrText>
      </w:r>
      <w:r>
        <w:fldChar w:fldCharType="separate"/>
      </w:r>
      <w:r>
        <w:rPr>
          <w:rFonts w:ascii="Arial Unicode MS" w:hAnsi="Arial Unicode MS" w:eastAsia="Arial Unicode MS"/>
          <w:color w:val="000000"/>
          <w:sz w:val="20"/>
        </w:rPr>
        <w:t>SAP Digital Manufacturing功能</w:t>
      </w:r>
      <w:r>
        <w:rPr>
          <w:rFonts w:ascii="Arial Unicode MS" w:hAnsi="Arial Unicode MS" w:eastAsia="Arial Unicode MS"/>
          <w:color w:val="000000"/>
          <w:sz w:val="20"/>
        </w:rPr>
        <w:fldChar w:fldCharType="end"/>
      </w:r>
    </w:p>
    <w:p w14:paraId="657382F8">
      <w:pPr>
        <w:spacing w:after="40" w:line="280" w:lineRule="exact"/>
      </w:pPr>
      <w:r>
        <w:rPr>
          <w:rFonts w:ascii="Arial Unicode MS" w:hAnsi="Arial Unicode MS" w:eastAsia="Arial Unicode MS"/>
          <w:color w:val="000000"/>
          <w:sz w:val="20"/>
        </w:rPr>
        <w:t xml:space="preserve">B04 </w:t>
      </w:r>
      <w:r>
        <w:fldChar w:fldCharType="begin"/>
      </w:r>
      <w:r>
        <w:instrText xml:space="preserve"> HYPERLINK "https://www.3ds.com/products/delmia/apriso/quality-control" \h </w:instrText>
      </w:r>
      <w:r>
        <w:fldChar w:fldCharType="separate"/>
      </w:r>
      <w:r>
        <w:rPr>
          <w:rFonts w:ascii="Arial Unicode MS" w:hAnsi="Arial Unicode MS" w:eastAsia="Arial Unicode MS"/>
          <w:color w:val="000000"/>
          <w:sz w:val="20"/>
        </w:rPr>
        <w:t>DELMIA Apriso质量控制</w:t>
      </w:r>
      <w:r>
        <w:rPr>
          <w:rFonts w:ascii="Arial Unicode MS" w:hAnsi="Arial Unicode MS" w:eastAsia="Arial Unicode MS"/>
          <w:color w:val="000000"/>
          <w:sz w:val="20"/>
        </w:rPr>
        <w:fldChar w:fldCharType="end"/>
      </w:r>
    </w:p>
    <w:p w14:paraId="3CE5202A">
      <w:pPr>
        <w:spacing w:after="40" w:line="280" w:lineRule="exact"/>
      </w:pPr>
      <w:r>
        <w:rPr>
          <w:rFonts w:ascii="Arial Unicode MS" w:hAnsi="Arial Unicode MS" w:eastAsia="Arial Unicode MS"/>
          <w:color w:val="000000"/>
          <w:sz w:val="20"/>
        </w:rPr>
        <w:t xml:space="preserve">B05 </w:t>
      </w:r>
      <w:r>
        <w:fldChar w:fldCharType="begin"/>
      </w:r>
      <w:r>
        <w:instrText xml:space="preserve"> HYPERLINK "https://www.3ds.com/products/delmia/apriso/warehouse" \h </w:instrText>
      </w:r>
      <w:r>
        <w:fldChar w:fldCharType="separate"/>
      </w:r>
      <w:r>
        <w:rPr>
          <w:rFonts w:ascii="Arial Unicode MS" w:hAnsi="Arial Unicode MS" w:eastAsia="Arial Unicode MS"/>
          <w:color w:val="000000"/>
          <w:sz w:val="20"/>
        </w:rPr>
        <w:t>DELMIA Apriso仓储</w:t>
      </w:r>
      <w:r>
        <w:rPr>
          <w:rFonts w:ascii="Arial Unicode MS" w:hAnsi="Arial Unicode MS" w:eastAsia="Arial Unicode MS"/>
          <w:color w:val="000000"/>
          <w:sz w:val="20"/>
        </w:rPr>
        <w:fldChar w:fldCharType="end"/>
      </w:r>
    </w:p>
    <w:p w14:paraId="1EE1BDDD">
      <w:pPr>
        <w:spacing w:after="40" w:line="280" w:lineRule="exact"/>
      </w:pPr>
      <w:r>
        <w:rPr>
          <w:rFonts w:ascii="Arial Unicode MS" w:hAnsi="Arial Unicode MS" w:eastAsia="Arial Unicode MS"/>
          <w:color w:val="000000"/>
          <w:sz w:val="20"/>
        </w:rPr>
        <w:t xml:space="preserve">B06 </w:t>
      </w:r>
      <w:r>
        <w:fldChar w:fldCharType="begin"/>
      </w:r>
      <w:r>
        <w:instrText xml:space="preserve"> HYPERLINK "https://www.3ds.com/products/delmia/apriso/maintenance" \h </w:instrText>
      </w:r>
      <w:r>
        <w:fldChar w:fldCharType="separate"/>
      </w:r>
      <w:r>
        <w:rPr>
          <w:rFonts w:ascii="Arial Unicode MS" w:hAnsi="Arial Unicode MS" w:eastAsia="Arial Unicode MS"/>
          <w:color w:val="000000"/>
          <w:sz w:val="20"/>
        </w:rPr>
        <w:t>DELMIA Apriso设备维护</w:t>
      </w:r>
      <w:r>
        <w:rPr>
          <w:rFonts w:ascii="Arial Unicode MS" w:hAnsi="Arial Unicode MS" w:eastAsia="Arial Unicode MS"/>
          <w:color w:val="000000"/>
          <w:sz w:val="20"/>
        </w:rPr>
        <w:fldChar w:fldCharType="end"/>
      </w:r>
    </w:p>
    <w:p w14:paraId="74042B4B">
      <w:r>
        <w:rPr>
          <w:rFonts w:ascii="Arial Unicode MS" w:hAnsi="Arial Unicode MS" w:eastAsia="Arial Unicode MS"/>
          <w:color w:val="000000"/>
          <w:sz w:val="19"/>
        </w:rPr>
        <w:t>B07 IEC 62264-3 2016 制造运营活动模型</w:t>
      </w:r>
      <w:r>
        <w:rPr>
          <w:rFonts w:ascii="Arial Unicode MS" w:hAnsi="Arial Unicode MS" w:eastAsia="Arial Unicode MS"/>
          <w:color w:val="000000"/>
          <w:sz w:val="19"/>
        </w:rPr>
        <w:br w:type="textWrapping"/>
      </w:r>
      <w:r>
        <w:rPr>
          <w:rFonts w:ascii="Arial Unicode MS" w:hAnsi="Arial Unicode MS" w:eastAsia="Arial Unicode MS"/>
          <w:color w:val="000000"/>
          <w:sz w:val="19"/>
        </w:rPr>
        <w:t>https://webstore.iec.ch/en/publication/33511</w:t>
      </w:r>
    </w:p>
    <w:p w14:paraId="2329A427">
      <w:r>
        <w:rPr>
          <w:rFonts w:ascii="Arial Unicode MS" w:hAnsi="Arial Unicode MS" w:eastAsia="Arial Unicode MS"/>
          <w:color w:val="000000"/>
          <w:sz w:val="19"/>
        </w:rPr>
        <w:t>B08 IEC 62264-2 2026 制造运营与业务接口对象</w:t>
      </w:r>
      <w:r>
        <w:rPr>
          <w:rFonts w:ascii="Arial Unicode MS" w:hAnsi="Arial Unicode MS" w:eastAsia="Arial Unicode MS"/>
          <w:color w:val="000000"/>
          <w:sz w:val="19"/>
        </w:rPr>
        <w:br w:type="textWrapping"/>
      </w:r>
      <w:r>
        <w:rPr>
          <w:rFonts w:ascii="Arial Unicode MS" w:hAnsi="Arial Unicode MS" w:eastAsia="Arial Unicode MS"/>
          <w:color w:val="000000"/>
          <w:sz w:val="19"/>
        </w:rPr>
        <w:t>https://webstore.iec.ch/en/publication/75127</w:t>
      </w:r>
    </w:p>
    <w:p w14:paraId="4CE106E2">
      <w:r>
        <w:rPr>
          <w:rFonts w:ascii="Arial Unicode MS" w:hAnsi="Arial Unicode MS" w:eastAsia="Arial Unicode MS"/>
          <w:color w:val="000000"/>
        </w:rPr>
        <w:t>标准参考用于制造运营活动与系统边界分类，需求按实际业务裁剪。组织责任位依据KN0与KN0A的同码规则及IS组织目录引用，AR标识责任职能，不改变现有任命和审批授权。</w:t>
      </w:r>
    </w:p>
    <w:sectPr>
      <w:pgSz w:w="12240" w:h="15840"/>
      <w:pgMar w:top="936" w:right="1008" w:bottom="936" w:left="1008"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Arial Unicode MS">
    <w:panose1 w:val="020B0604020202020204"/>
    <w:charset w:val="86"/>
    <w:family w:val="auto"/>
    <w:pitch w:val="default"/>
    <w:sig w:usb0="FFFFFFFF" w:usb1="E9FFFFFF" w:usb2="0000003F" w:usb3="00000000" w:csb0="603F01FF" w:csb1="FFFF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Courier">
    <w:altName w:val="苹方-简"/>
    <w:panose1 w:val="02000500000000000000"/>
    <w:charset w:val="00"/>
    <w:family w:val="auto"/>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ＭＳ ゴシック">
    <w:altName w:val="Arial Unicode MS"/>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96762">
    <w:pPr>
      <w:pStyle w:val="24"/>
      <w:spacing w:after="0" w:line="240" w:lineRule="exact"/>
      <w:jc w:val="center"/>
    </w:pPr>
    <w:r>
      <w:rPr>
        <w:rFonts w:ascii="Arial Unicode MS" w:hAnsi="Arial Unicode MS" w:eastAsia="Arial Unicode MS"/>
        <w:color w:val="000000"/>
        <w:sz w:val="18"/>
      </w:rPr>
      <w:t xml:space="preserve">第 </w:t>
    </w:r>
    <w:r>
      <w:rPr>
        <w:rFonts w:ascii="Arial Unicode MS" w:hAnsi="Arial Unicode MS" w:eastAsia="Arial Unicode MS"/>
        <w:color w:val="000000"/>
        <w:sz w:val="18"/>
      </w:rPr>
      <w:fldChar w:fldCharType="begin"/>
    </w:r>
    <w:r>
      <w:rPr>
        <w:rFonts w:ascii="Arial Unicode MS" w:hAnsi="Arial Unicode MS" w:eastAsia="Arial Unicode MS"/>
        <w:color w:val="000000"/>
        <w:sz w:val="18"/>
      </w:rPr>
      <w:instrText xml:space="preserve"> PAGE </w:instrText>
    </w:r>
    <w:r>
      <w:rPr>
        <w:rFonts w:ascii="Arial Unicode MS" w:hAnsi="Arial Unicode MS" w:eastAsia="Arial Unicode MS"/>
        <w:color w:val="000000"/>
        <w:sz w:val="18"/>
      </w:rPr>
      <w:fldChar w:fldCharType="separate"/>
    </w:r>
    <w:r>
      <w:rPr>
        <w:rFonts w:ascii="Arial Unicode MS" w:hAnsi="Arial Unicode MS" w:eastAsia="Arial Unicode MS"/>
        <w:color w:val="000000"/>
        <w:sz w:val="18"/>
      </w:rPr>
      <w:t>1</w:t>
    </w:r>
    <w:r>
      <w:rPr>
        <w:rFonts w:ascii="Arial Unicode MS" w:hAnsi="Arial Unicode MS" w:eastAsia="Arial Unicode MS"/>
        <w:color w:val="000000"/>
        <w:sz w:val="18"/>
      </w:rPr>
      <w:fldChar w:fldCharType="end"/>
    </w:r>
    <w:r>
      <w:rPr>
        <w:rFonts w:ascii="Arial Unicode MS" w:hAnsi="Arial Unicode MS" w:eastAsia="Arial Unicode MS"/>
        <w:color w:val="000000"/>
        <w:sz w:val="18"/>
      </w:rPr>
      <w:t xml:space="preserve"> 页  共 </w:t>
    </w:r>
    <w:r>
      <w:rPr>
        <w:rFonts w:ascii="Arial Unicode MS" w:hAnsi="Arial Unicode MS" w:eastAsia="Arial Unicode MS"/>
        <w:color w:val="000000"/>
        <w:sz w:val="18"/>
      </w:rPr>
      <w:fldChar w:fldCharType="begin"/>
    </w:r>
    <w:r>
      <w:rPr>
        <w:rFonts w:ascii="Arial Unicode MS" w:hAnsi="Arial Unicode MS" w:eastAsia="Arial Unicode MS"/>
        <w:color w:val="000000"/>
        <w:sz w:val="18"/>
      </w:rPr>
      <w:instrText xml:space="preserve"> NUMPAGES </w:instrText>
    </w:r>
    <w:r>
      <w:rPr>
        <w:rFonts w:ascii="Arial Unicode MS" w:hAnsi="Arial Unicode MS" w:eastAsia="Arial Unicode MS"/>
        <w:color w:val="000000"/>
        <w:sz w:val="18"/>
      </w:rPr>
      <w:fldChar w:fldCharType="separate"/>
    </w:r>
    <w:r>
      <w:rPr>
        <w:rFonts w:ascii="Arial Unicode MS" w:hAnsi="Arial Unicode MS" w:eastAsia="Arial Unicode MS"/>
        <w:color w:val="000000"/>
        <w:sz w:val="18"/>
      </w:rPr>
      <w:t>1</w:t>
    </w:r>
    <w:r>
      <w:rPr>
        <w:rFonts w:ascii="Arial Unicode MS" w:hAnsi="Arial Unicode MS" w:eastAsia="Arial Unicode MS"/>
        <w:color w:val="000000"/>
        <w:sz w:val="18"/>
      </w:rPr>
      <w:fldChar w:fldCharType="end"/>
    </w:r>
    <w:r>
      <w:rPr>
        <w:rFonts w:ascii="Arial Unicode MS" w:hAnsi="Arial Unicode MS" w:eastAsia="Arial Unicode MS"/>
        <w:color w:val="000000"/>
        <w:sz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6E40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7AF9072"/>
    <w:rsid w:val="6FFE89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320" w:lineRule="exact"/>
    </w:pPr>
    <w:rPr>
      <w:rFonts w:ascii="Arial Unicode MS" w:hAnsi="Arial Unicode MS" w:eastAsia="Arial Unicode MS" w:cstheme="minorBidi"/>
      <w:color w:val="000000"/>
      <w:sz w:val="22"/>
      <w:szCs w:val="22"/>
      <w:lang w:val="en-US" w:eastAsia="en-US" w:bidi="ar-SA"/>
    </w:rPr>
  </w:style>
  <w:style w:type="paragraph" w:styleId="3">
    <w:name w:val="heading 1"/>
    <w:basedOn w:val="1"/>
    <w:next w:val="1"/>
    <w:link w:val="138"/>
    <w:qFormat/>
    <w:uiPriority w:val="9"/>
    <w:pPr>
      <w:keepNext/>
      <w:keepLines/>
      <w:spacing w:before="240" w:after="140" w:line="448" w:lineRule="exac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240" w:after="140" w:line="364" w:lineRule="exact"/>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40" w:after="140" w:line="322" w:lineRule="exact"/>
      <w:outlineLvl w:val="2"/>
    </w:pPr>
    <w:rPr>
      <w:rFonts w:asciiTheme="majorHAnsi" w:hAnsiTheme="majorHAnsi" w:eastAsiaTheme="majorEastAsia" w:cstheme="majorBidi"/>
      <w:b/>
      <w:bCs/>
      <w:color w:val="000000"/>
      <w:sz w:val="2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keepNext/>
      <w:spacing w:before="240" w:after="140" w:line="364" w:lineRule="exact"/>
    </w:pPr>
    <w:rPr>
      <w:rFonts w:asciiTheme="majorHAnsi" w:hAnsiTheme="majorHAnsi" w:eastAsiaTheme="majorEastAsia" w:cstheme="majorBidi"/>
      <w:iCs/>
      <w:color w:val="000000"/>
      <w:spacing w:val="15"/>
      <w:sz w:val="26"/>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before="0" w:after="140" w:line="672" w:lineRule="exact"/>
      <w:contextualSpacing/>
    </w:pPr>
    <w:rPr>
      <w:rFonts w:asciiTheme="majorHAnsi" w:hAnsiTheme="majorHAnsi" w:eastAsiaTheme="majorEastAsia" w:cstheme="majorBidi"/>
      <w:color w:val="000000"/>
      <w:spacing w:val="5"/>
      <w:kern w:val="28"/>
      <w:sz w:val="48"/>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0</Words>
  <Characters>0</Characters>
  <Lines>0</Lines>
  <Paragraphs>0</Paragraphs>
  <TotalTime>1</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柳钦</dc:creator>
  <cp:lastModifiedBy>柳钦</cp:lastModifiedBy>
  <dcterms:modified xsi:type="dcterms:W3CDTF">2026-10-28T00:00:00Z</dcterms:modified>
  <dc:subject>制造运营调研与MES建设规划</dc:subject>
  <dc:title>机器人关节企业MOM建设调研报告</dc:title>
  <cp:revision>1</cp:revision>
  <cp:version>2.6</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E254F312F7C285E88764D36AD9D41815_42</vt:lpwstr>
  </property>
</Properties>
</file>